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5806EE6" w:rsidR="001E0A28" w:rsidRPr="001E410F" w:rsidRDefault="001E0A28" w:rsidP="001E0A28">
      <w:pPr>
        <w:spacing w:after="120"/>
        <w:ind w:left="1985" w:hanging="1985"/>
        <w:rPr>
          <w:rFonts w:ascii="Arial" w:eastAsiaTheme="minorEastAsia" w:hAnsi="Arial" w:cs="Arial"/>
          <w:b/>
          <w:sz w:val="24"/>
          <w:szCs w:val="24"/>
          <w:lang w:val="en-US" w:eastAsia="zh-CN"/>
        </w:rPr>
      </w:pPr>
      <w:r w:rsidRPr="001E410F">
        <w:rPr>
          <w:rFonts w:ascii="Arial" w:eastAsiaTheme="minorEastAsia" w:hAnsi="Arial" w:cs="Arial"/>
          <w:b/>
          <w:sz w:val="24"/>
          <w:szCs w:val="24"/>
          <w:lang w:val="en-US" w:eastAsia="zh-CN"/>
        </w:rPr>
        <w:t xml:space="preserve">3GPP TSG-RAN WG4 Meeting # </w:t>
      </w:r>
      <w:r w:rsidR="001128E7" w:rsidRPr="001E410F">
        <w:rPr>
          <w:rFonts w:ascii="Arial" w:eastAsiaTheme="minorEastAsia" w:hAnsi="Arial" w:cs="Arial"/>
          <w:b/>
          <w:sz w:val="24"/>
          <w:szCs w:val="24"/>
          <w:lang w:val="en-US" w:eastAsia="zh-CN"/>
        </w:rPr>
        <w:t>10</w:t>
      </w:r>
      <w:r w:rsidR="00737EC9" w:rsidRPr="001E410F">
        <w:rPr>
          <w:rFonts w:ascii="Arial" w:eastAsiaTheme="minorEastAsia" w:hAnsi="Arial" w:cs="Arial"/>
          <w:b/>
          <w:sz w:val="24"/>
          <w:szCs w:val="24"/>
          <w:lang w:val="en-US" w:eastAsia="zh-CN"/>
        </w:rPr>
        <w:t>3</w:t>
      </w:r>
      <w:r w:rsidR="003F3A2F" w:rsidRPr="001E410F">
        <w:rPr>
          <w:rFonts w:ascii="Arial" w:eastAsiaTheme="minorEastAsia" w:hAnsi="Arial" w:cs="Arial"/>
          <w:b/>
          <w:sz w:val="24"/>
          <w:szCs w:val="24"/>
          <w:lang w:val="en-US" w:eastAsia="zh-CN"/>
        </w:rPr>
        <w:t>-e</w:t>
      </w:r>
      <w:r w:rsidRPr="001E410F">
        <w:rPr>
          <w:rFonts w:ascii="Arial" w:eastAsiaTheme="minorEastAsia" w:hAnsi="Arial" w:cs="Arial"/>
          <w:b/>
          <w:sz w:val="24"/>
          <w:szCs w:val="24"/>
          <w:lang w:val="en-US" w:eastAsia="zh-CN"/>
        </w:rPr>
        <w:tab/>
      </w:r>
      <w:r w:rsidRPr="001E410F">
        <w:rPr>
          <w:rFonts w:ascii="Arial" w:eastAsiaTheme="minorEastAsia" w:hAnsi="Arial" w:cs="Arial"/>
          <w:b/>
          <w:sz w:val="24"/>
          <w:szCs w:val="24"/>
          <w:lang w:val="en-US" w:eastAsia="zh-CN"/>
        </w:rPr>
        <w:tab/>
      </w:r>
      <w:r w:rsidRPr="001E410F">
        <w:rPr>
          <w:rFonts w:ascii="Arial" w:eastAsiaTheme="minorEastAsia" w:hAnsi="Arial" w:cs="Arial"/>
          <w:b/>
          <w:sz w:val="24"/>
          <w:szCs w:val="24"/>
          <w:lang w:val="en-US" w:eastAsia="zh-CN"/>
        </w:rPr>
        <w:tab/>
      </w:r>
      <w:r w:rsidRPr="001E410F">
        <w:rPr>
          <w:rFonts w:ascii="Arial" w:eastAsiaTheme="minorEastAsia" w:hAnsi="Arial" w:cs="Arial"/>
          <w:b/>
          <w:sz w:val="24"/>
          <w:szCs w:val="24"/>
          <w:lang w:val="en-US" w:eastAsia="zh-CN"/>
        </w:rPr>
        <w:tab/>
      </w:r>
      <w:r w:rsidRPr="001E410F">
        <w:rPr>
          <w:rFonts w:ascii="Arial" w:eastAsiaTheme="minorEastAsia" w:hAnsi="Arial" w:cs="Arial"/>
          <w:b/>
          <w:sz w:val="24"/>
          <w:szCs w:val="24"/>
          <w:lang w:val="en-US" w:eastAsia="zh-CN"/>
        </w:rPr>
        <w:tab/>
      </w:r>
      <w:r w:rsidRPr="001E410F">
        <w:rPr>
          <w:rFonts w:ascii="Arial" w:eastAsiaTheme="minorEastAsia" w:hAnsi="Arial" w:cs="Arial"/>
          <w:b/>
          <w:sz w:val="24"/>
          <w:szCs w:val="24"/>
          <w:lang w:val="en-US" w:eastAsia="zh-CN"/>
        </w:rPr>
        <w:tab/>
      </w:r>
      <w:r w:rsidRPr="001E410F">
        <w:rPr>
          <w:rFonts w:ascii="Arial" w:eastAsiaTheme="minorEastAsia" w:hAnsi="Arial" w:cs="Arial"/>
          <w:b/>
          <w:sz w:val="24"/>
          <w:szCs w:val="24"/>
          <w:lang w:val="en-US" w:eastAsia="zh-CN"/>
        </w:rPr>
        <w:tab/>
      </w:r>
      <w:r w:rsidRPr="001E410F">
        <w:rPr>
          <w:rFonts w:ascii="Arial" w:eastAsiaTheme="minorEastAsia" w:hAnsi="Arial" w:cs="Arial"/>
          <w:b/>
          <w:sz w:val="24"/>
          <w:szCs w:val="24"/>
          <w:lang w:val="en-US" w:eastAsia="zh-CN"/>
        </w:rPr>
        <w:tab/>
      </w:r>
      <w:r w:rsidRPr="001E410F">
        <w:rPr>
          <w:rFonts w:ascii="Arial" w:eastAsiaTheme="minorEastAsia" w:hAnsi="Arial" w:cs="Arial"/>
          <w:b/>
          <w:sz w:val="24"/>
          <w:szCs w:val="24"/>
          <w:lang w:val="en-US" w:eastAsia="zh-CN"/>
        </w:rPr>
        <w:tab/>
      </w:r>
      <w:r w:rsidRPr="001E410F">
        <w:rPr>
          <w:rFonts w:ascii="Arial" w:eastAsiaTheme="minorEastAsia" w:hAnsi="Arial" w:cs="Arial"/>
          <w:b/>
          <w:sz w:val="24"/>
          <w:szCs w:val="24"/>
          <w:lang w:val="en-US" w:eastAsia="zh-CN"/>
        </w:rPr>
        <w:tab/>
      </w:r>
      <w:r w:rsidRPr="001E410F">
        <w:rPr>
          <w:rFonts w:ascii="Arial" w:eastAsiaTheme="minorEastAsia" w:hAnsi="Arial" w:cs="Arial"/>
          <w:b/>
          <w:sz w:val="24"/>
          <w:szCs w:val="24"/>
          <w:lang w:val="en-US" w:eastAsia="zh-CN"/>
        </w:rPr>
        <w:tab/>
      </w:r>
      <w:r w:rsidRPr="001E410F">
        <w:rPr>
          <w:rFonts w:ascii="Arial" w:eastAsiaTheme="minorEastAsia" w:hAnsi="Arial" w:cs="Arial"/>
          <w:b/>
          <w:sz w:val="24"/>
          <w:szCs w:val="24"/>
          <w:lang w:val="en-US" w:eastAsia="zh-CN"/>
        </w:rPr>
        <w:tab/>
      </w:r>
      <w:r w:rsidR="00E80153" w:rsidRPr="00E80153">
        <w:rPr>
          <w:rFonts w:ascii="Arial" w:eastAsiaTheme="minorEastAsia" w:hAnsi="Arial" w:cs="Arial"/>
          <w:b/>
          <w:sz w:val="24"/>
          <w:szCs w:val="24"/>
          <w:lang w:val="en-US" w:eastAsia="zh-CN"/>
        </w:rPr>
        <w:t>R4-2210097</w:t>
      </w:r>
    </w:p>
    <w:p w14:paraId="0E0F466F" w14:textId="135C9CB5" w:rsidR="00615EBB" w:rsidRPr="001E410F" w:rsidRDefault="001E0A28" w:rsidP="001E0A28">
      <w:pPr>
        <w:spacing w:after="120"/>
        <w:ind w:left="1985" w:hanging="1985"/>
        <w:rPr>
          <w:rFonts w:ascii="Arial" w:eastAsiaTheme="minorEastAsia" w:hAnsi="Arial" w:cs="Arial"/>
          <w:b/>
          <w:sz w:val="24"/>
          <w:szCs w:val="24"/>
          <w:lang w:val="en-US" w:eastAsia="zh-CN"/>
        </w:rPr>
      </w:pPr>
      <w:r w:rsidRPr="001E410F">
        <w:rPr>
          <w:rFonts w:ascii="Arial" w:eastAsiaTheme="minorEastAsia" w:hAnsi="Arial" w:cs="Arial"/>
          <w:b/>
          <w:sz w:val="24"/>
          <w:szCs w:val="24"/>
          <w:lang w:val="en-US" w:eastAsia="zh-CN"/>
        </w:rPr>
        <w:t xml:space="preserve">Electronic Meeting, </w:t>
      </w:r>
      <w:r w:rsidR="002522D4" w:rsidRPr="001E410F">
        <w:rPr>
          <w:rFonts w:ascii="Arial" w:eastAsiaTheme="minorEastAsia" w:hAnsi="Arial" w:cs="Arial"/>
          <w:b/>
          <w:sz w:val="24"/>
          <w:szCs w:val="24"/>
          <w:lang w:val="en-US" w:eastAsia="zh-CN"/>
        </w:rPr>
        <w:t xml:space="preserve">May </w:t>
      </w:r>
      <w:r w:rsidR="00737EC9" w:rsidRPr="001E410F">
        <w:rPr>
          <w:rFonts w:ascii="Arial" w:hAnsi="Arial"/>
          <w:b/>
          <w:sz w:val="24"/>
          <w:szCs w:val="24"/>
          <w:lang w:val="en-US" w:eastAsia="zh-CN"/>
        </w:rPr>
        <w:t>09</w:t>
      </w:r>
      <w:r w:rsidR="00442337" w:rsidRPr="001E410F">
        <w:rPr>
          <w:rFonts w:ascii="Arial" w:hAnsi="Arial"/>
          <w:b/>
          <w:sz w:val="24"/>
          <w:szCs w:val="24"/>
          <w:lang w:val="en-US" w:eastAsia="zh-CN"/>
        </w:rPr>
        <w:t xml:space="preserve"> – </w:t>
      </w:r>
      <w:r w:rsidR="001128E7" w:rsidRPr="001E410F">
        <w:rPr>
          <w:rFonts w:ascii="Arial" w:hAnsi="Arial"/>
          <w:b/>
          <w:sz w:val="24"/>
          <w:szCs w:val="24"/>
          <w:lang w:val="en-US" w:eastAsia="zh-CN"/>
        </w:rPr>
        <w:t>2</w:t>
      </w:r>
      <w:r w:rsidR="00737EC9" w:rsidRPr="001E410F">
        <w:rPr>
          <w:rFonts w:ascii="Arial" w:hAnsi="Arial"/>
          <w:b/>
          <w:sz w:val="24"/>
          <w:szCs w:val="24"/>
          <w:lang w:val="en-US" w:eastAsia="zh-CN"/>
        </w:rPr>
        <w:t>0</w:t>
      </w:r>
      <w:r w:rsidR="00442337" w:rsidRPr="001E410F">
        <w:rPr>
          <w:rFonts w:ascii="Arial" w:hAnsi="Arial"/>
          <w:b/>
          <w:sz w:val="24"/>
          <w:szCs w:val="24"/>
          <w:lang w:val="en-US" w:eastAsia="zh-CN"/>
        </w:rPr>
        <w:t>, 202</w:t>
      </w:r>
      <w:r w:rsidR="000D19DE" w:rsidRPr="001E410F">
        <w:rPr>
          <w:rFonts w:ascii="Arial" w:hAnsi="Arial"/>
          <w:b/>
          <w:sz w:val="24"/>
          <w:szCs w:val="24"/>
          <w:lang w:val="en-US" w:eastAsia="zh-CN"/>
        </w:rPr>
        <w:t>2</w:t>
      </w:r>
    </w:p>
    <w:p w14:paraId="2637FD31" w14:textId="77777777" w:rsidR="001E0A28" w:rsidRPr="001E410F" w:rsidRDefault="001E0A28" w:rsidP="001E0A28">
      <w:pPr>
        <w:spacing w:after="120"/>
        <w:ind w:left="1985" w:hanging="1985"/>
        <w:rPr>
          <w:rFonts w:ascii="Arial" w:eastAsia="MS Mincho" w:hAnsi="Arial" w:cs="Arial"/>
          <w:b/>
          <w:sz w:val="22"/>
          <w:lang w:val="en-US"/>
        </w:rPr>
      </w:pPr>
    </w:p>
    <w:p w14:paraId="282755FA" w14:textId="5B8128DA" w:rsidR="00C24D2F" w:rsidRPr="001E410F"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1E410F">
        <w:rPr>
          <w:rFonts w:ascii="Arial" w:eastAsia="MS Mincho" w:hAnsi="Arial" w:cs="Arial"/>
          <w:b/>
          <w:color w:val="000000"/>
          <w:sz w:val="22"/>
          <w:lang w:val="en-US"/>
        </w:rPr>
        <w:t xml:space="preserve">Agenda </w:t>
      </w:r>
      <w:r w:rsidR="007D19B7" w:rsidRPr="001E410F">
        <w:rPr>
          <w:rFonts w:ascii="Arial" w:eastAsia="MS Mincho" w:hAnsi="Arial" w:cs="Arial"/>
          <w:b/>
          <w:color w:val="000000"/>
          <w:sz w:val="22"/>
          <w:lang w:val="en-US"/>
        </w:rPr>
        <w:t>item</w:t>
      </w:r>
      <w:r w:rsidRPr="001E410F">
        <w:rPr>
          <w:rFonts w:ascii="Arial" w:eastAsia="MS Mincho" w:hAnsi="Arial" w:cs="Arial"/>
          <w:b/>
          <w:color w:val="000000"/>
          <w:sz w:val="22"/>
          <w:lang w:val="en-US"/>
        </w:rPr>
        <w:t>:</w:t>
      </w:r>
      <w:r w:rsidRPr="001E410F">
        <w:rPr>
          <w:rFonts w:ascii="Arial" w:eastAsia="MS Mincho" w:hAnsi="Arial" w:cs="Arial"/>
          <w:b/>
          <w:color w:val="000000"/>
          <w:sz w:val="22"/>
          <w:lang w:val="en-US"/>
        </w:rPr>
        <w:tab/>
      </w:r>
      <w:r w:rsidRPr="001E410F">
        <w:rPr>
          <w:rFonts w:ascii="Arial" w:eastAsia="MS Mincho" w:hAnsi="Arial" w:cs="Arial"/>
          <w:b/>
          <w:color w:val="000000"/>
          <w:sz w:val="22"/>
          <w:lang w:val="en-US" w:eastAsia="ja-JP"/>
        </w:rPr>
        <w:tab/>
      </w:r>
      <w:r w:rsidRPr="001E410F">
        <w:rPr>
          <w:rFonts w:ascii="Arial" w:eastAsia="MS Mincho" w:hAnsi="Arial" w:cs="Arial"/>
          <w:b/>
          <w:color w:val="000000"/>
          <w:sz w:val="22"/>
          <w:lang w:val="en-US" w:eastAsia="ja-JP"/>
        </w:rPr>
        <w:tab/>
      </w:r>
      <w:r w:rsidR="0019445A">
        <w:rPr>
          <w:rFonts w:ascii="Arial" w:eastAsiaTheme="minorEastAsia" w:hAnsi="Arial" w:cs="Arial"/>
          <w:color w:val="000000"/>
          <w:sz w:val="22"/>
          <w:lang w:val="en-US" w:eastAsia="zh-CN"/>
        </w:rPr>
        <w:t>9.20.2.1</w:t>
      </w:r>
    </w:p>
    <w:p w14:paraId="50D5329D" w14:textId="1D326278" w:rsidR="00915D73" w:rsidRPr="001E410F" w:rsidRDefault="00915D73" w:rsidP="00915D73">
      <w:pPr>
        <w:spacing w:after="120"/>
        <w:ind w:left="1985" w:hanging="1985"/>
        <w:rPr>
          <w:rFonts w:ascii="Arial" w:hAnsi="Arial" w:cs="Arial"/>
          <w:color w:val="000000"/>
          <w:sz w:val="22"/>
          <w:lang w:val="en-US" w:eastAsia="zh-CN"/>
        </w:rPr>
      </w:pPr>
      <w:r w:rsidRPr="001E410F">
        <w:rPr>
          <w:rFonts w:ascii="Arial" w:eastAsia="MS Mincho" w:hAnsi="Arial" w:cs="Arial"/>
          <w:b/>
          <w:sz w:val="22"/>
          <w:lang w:val="en-US"/>
        </w:rPr>
        <w:t>Source:</w:t>
      </w:r>
      <w:r w:rsidRPr="001E410F">
        <w:rPr>
          <w:rFonts w:ascii="Arial" w:eastAsia="MS Mincho" w:hAnsi="Arial" w:cs="Arial"/>
          <w:b/>
          <w:sz w:val="22"/>
          <w:lang w:val="en-US"/>
        </w:rPr>
        <w:tab/>
      </w:r>
      <w:r w:rsidR="003F512B" w:rsidRPr="001E410F">
        <w:rPr>
          <w:rFonts w:ascii="Arial" w:hAnsi="Arial" w:cs="Arial"/>
          <w:color w:val="000000"/>
          <w:sz w:val="22"/>
          <w:lang w:val="en-US" w:eastAsia="zh-CN"/>
        </w:rPr>
        <w:t>Ericsson</w:t>
      </w:r>
    </w:p>
    <w:p w14:paraId="1E0389E7" w14:textId="3678DC87" w:rsidR="00915D73" w:rsidRPr="001E410F" w:rsidRDefault="00915D73" w:rsidP="00915D73">
      <w:pPr>
        <w:spacing w:after="120"/>
        <w:ind w:left="1985" w:hanging="1985"/>
        <w:rPr>
          <w:rFonts w:ascii="Arial" w:eastAsiaTheme="minorEastAsia" w:hAnsi="Arial" w:cs="Arial"/>
          <w:color w:val="000000"/>
          <w:sz w:val="22"/>
          <w:lang w:val="en-US" w:eastAsia="zh-CN"/>
        </w:rPr>
      </w:pPr>
      <w:r w:rsidRPr="001E410F">
        <w:rPr>
          <w:rFonts w:ascii="Arial" w:eastAsia="MS Mincho" w:hAnsi="Arial" w:cs="Arial"/>
          <w:b/>
          <w:color w:val="000000"/>
          <w:sz w:val="22"/>
          <w:lang w:val="en-US"/>
        </w:rPr>
        <w:t>Title:</w:t>
      </w:r>
      <w:r w:rsidRPr="001E410F">
        <w:rPr>
          <w:rFonts w:ascii="Arial" w:eastAsia="MS Mincho" w:hAnsi="Arial" w:cs="Arial"/>
          <w:b/>
          <w:color w:val="000000"/>
          <w:sz w:val="22"/>
          <w:lang w:val="en-US"/>
        </w:rPr>
        <w:tab/>
      </w:r>
      <w:r w:rsidR="001D5047" w:rsidRPr="001D5047">
        <w:rPr>
          <w:rFonts w:ascii="Arial" w:eastAsia="MS Mincho" w:hAnsi="Arial" w:cs="Arial"/>
          <w:bCs/>
          <w:color w:val="000000"/>
          <w:sz w:val="22"/>
          <w:lang w:val="en-US"/>
        </w:rPr>
        <w:t xml:space="preserve">UE </w:t>
      </w:r>
      <w:r w:rsidR="00EC617D" w:rsidRPr="001E410F">
        <w:rPr>
          <w:rFonts w:ascii="Arial" w:eastAsiaTheme="minorEastAsia" w:hAnsi="Arial" w:cs="Arial"/>
          <w:color w:val="000000"/>
          <w:sz w:val="22"/>
          <w:lang w:val="en-US" w:eastAsia="zh-CN"/>
        </w:rPr>
        <w:t>Rx/Tx delay mitigation</w:t>
      </w:r>
      <w:r w:rsidR="001D5047">
        <w:rPr>
          <w:rFonts w:ascii="Arial" w:eastAsiaTheme="minorEastAsia" w:hAnsi="Arial" w:cs="Arial"/>
          <w:color w:val="000000"/>
          <w:sz w:val="22"/>
          <w:lang w:val="en-US" w:eastAsia="zh-CN"/>
        </w:rPr>
        <w:t xml:space="preserve"> performance</w:t>
      </w:r>
    </w:p>
    <w:p w14:paraId="67B0962B" w14:textId="72372FA8" w:rsidR="00915D73" w:rsidRPr="001E410F" w:rsidRDefault="00915D73" w:rsidP="00915D73">
      <w:pPr>
        <w:spacing w:after="120"/>
        <w:ind w:left="1985" w:hanging="1985"/>
        <w:rPr>
          <w:rFonts w:ascii="Arial" w:eastAsiaTheme="minorEastAsia" w:hAnsi="Arial" w:cs="Arial"/>
          <w:sz w:val="22"/>
          <w:lang w:val="en-US" w:eastAsia="zh-CN"/>
        </w:rPr>
      </w:pPr>
      <w:r w:rsidRPr="001E410F">
        <w:rPr>
          <w:rFonts w:ascii="Arial" w:eastAsia="MS Mincho" w:hAnsi="Arial" w:cs="Arial"/>
          <w:b/>
          <w:color w:val="000000"/>
          <w:sz w:val="22"/>
          <w:lang w:val="en-US"/>
        </w:rPr>
        <w:t>Document for:</w:t>
      </w:r>
      <w:r w:rsidRPr="001E410F">
        <w:rPr>
          <w:rFonts w:ascii="Arial" w:eastAsia="MS Mincho" w:hAnsi="Arial" w:cs="Arial"/>
          <w:b/>
          <w:color w:val="000000"/>
          <w:sz w:val="22"/>
          <w:lang w:val="en-US"/>
        </w:rPr>
        <w:tab/>
      </w:r>
      <w:r w:rsidR="003F512B" w:rsidRPr="001E410F">
        <w:rPr>
          <w:rFonts w:ascii="Arial" w:eastAsiaTheme="minorEastAsia" w:hAnsi="Arial" w:cs="Arial"/>
          <w:color w:val="000000"/>
          <w:sz w:val="22"/>
          <w:lang w:val="en-US" w:eastAsia="zh-CN"/>
        </w:rPr>
        <w:t>Discussion</w:t>
      </w:r>
    </w:p>
    <w:p w14:paraId="06DED12E" w14:textId="43B07465" w:rsidR="00AE7BAF" w:rsidRDefault="00915D73" w:rsidP="00635192">
      <w:pPr>
        <w:pStyle w:val="Heading1"/>
        <w:rPr>
          <w:lang w:val="en-US"/>
        </w:rPr>
      </w:pPr>
      <w:r w:rsidRPr="001E410F">
        <w:rPr>
          <w:lang w:val="en-US"/>
        </w:rPr>
        <w:t>Introduction</w:t>
      </w:r>
    </w:p>
    <w:p w14:paraId="0823EC2C" w14:textId="68EB6BAB" w:rsidR="009002C7" w:rsidRPr="001E410F" w:rsidRDefault="00CA3290" w:rsidP="009002C7">
      <w:pPr>
        <w:rPr>
          <w:lang w:val="en-US"/>
        </w:rPr>
      </w:pPr>
      <w:r w:rsidRPr="001E410F">
        <w:rPr>
          <w:lang w:val="en-US"/>
        </w:rPr>
        <w:t>I</w:t>
      </w:r>
      <w:r w:rsidR="00C20679" w:rsidRPr="001E410F">
        <w:rPr>
          <w:lang w:val="en-US"/>
        </w:rPr>
        <w:t>n</w:t>
      </w:r>
      <w:r w:rsidRPr="001E410F">
        <w:rPr>
          <w:lang w:val="en-US"/>
        </w:rPr>
        <w:t xml:space="preserve"> RAN4#102-e f</w:t>
      </w:r>
      <w:r w:rsidR="00EC617D" w:rsidRPr="001E410F">
        <w:rPr>
          <w:lang w:val="en-US"/>
        </w:rPr>
        <w:t xml:space="preserve">ollowing </w:t>
      </w:r>
      <w:r w:rsidRPr="001E410F">
        <w:rPr>
          <w:lang w:val="en-US"/>
        </w:rPr>
        <w:t>agreements on TEG margin values were made</w:t>
      </w:r>
      <w:r w:rsidR="00EC617D" w:rsidRPr="001E410F">
        <w:rPr>
          <w:lang w:val="en-US"/>
        </w:rPr>
        <w:t xml:space="preserve"> [</w:t>
      </w:r>
      <w:r w:rsidR="005C3845">
        <w:rPr>
          <w:lang w:val="en-US"/>
        </w:rPr>
        <w:t>1</w:t>
      </w:r>
      <w:r w:rsidR="00EC617D" w:rsidRPr="001E410F">
        <w:rPr>
          <w:lang w:val="en-US"/>
        </w:rPr>
        <w:t>].</w:t>
      </w:r>
    </w:p>
    <w:p w14:paraId="711DFF5A" w14:textId="6F98690B" w:rsidR="00EC617D" w:rsidRPr="005C3845" w:rsidRDefault="00EC617D" w:rsidP="00EC617D">
      <w:pPr>
        <w:rPr>
          <w:b/>
          <w:bCs/>
          <w:i/>
          <w:iCs/>
          <w:lang w:val="en-US"/>
        </w:rPr>
      </w:pPr>
      <w:r w:rsidRPr="005C3845">
        <w:rPr>
          <w:b/>
          <w:bCs/>
          <w:i/>
          <w:iCs/>
          <w:lang w:val="en-US"/>
        </w:rPr>
        <w:t>TEG margin values</w:t>
      </w:r>
    </w:p>
    <w:p w14:paraId="7AFF3989" w14:textId="061BB26B" w:rsidR="00CA3290" w:rsidRPr="005C3845" w:rsidRDefault="00CA3290" w:rsidP="00EC617D">
      <w:pPr>
        <w:rPr>
          <w:i/>
          <w:iCs/>
          <w:lang w:val="en-US"/>
        </w:rPr>
      </w:pPr>
      <w:r w:rsidRPr="005C3845">
        <w:rPr>
          <w:i/>
          <w:iCs/>
          <w:lang w:val="en-US"/>
        </w:rPr>
        <w:t>Agreement</w:t>
      </w:r>
    </w:p>
    <w:p w14:paraId="26DA0A2C" w14:textId="77777777" w:rsidR="00EC617D" w:rsidRPr="005C3845" w:rsidRDefault="00EC617D" w:rsidP="00EC617D">
      <w:pPr>
        <w:pStyle w:val="ListParagraph"/>
        <w:numPr>
          <w:ilvl w:val="0"/>
          <w:numId w:val="27"/>
        </w:numPr>
        <w:ind w:firstLineChars="0"/>
        <w:rPr>
          <w:b/>
          <w:bCs/>
          <w:i/>
          <w:iCs/>
          <w:sz w:val="22"/>
          <w:szCs w:val="22"/>
          <w:lang w:val="en-US"/>
        </w:rPr>
      </w:pPr>
      <w:r w:rsidRPr="005C3845">
        <w:rPr>
          <w:i/>
          <w:iCs/>
          <w:lang w:val="en-US"/>
        </w:rPr>
        <w:t>The RRM accuracy requirements corresponding to the candidate timing error margin values {TE</w:t>
      </w:r>
      <w:r w:rsidRPr="005C3845">
        <w:rPr>
          <w:i/>
          <w:iCs/>
          <w:vertAlign w:val="subscript"/>
          <w:lang w:val="en-US"/>
        </w:rPr>
        <w:t>1</w:t>
      </w:r>
      <w:r w:rsidRPr="005C3845">
        <w:rPr>
          <w:i/>
          <w:iCs/>
          <w:lang w:val="en-US"/>
        </w:rPr>
        <w:t>, TE</w:t>
      </w:r>
      <w:r w:rsidRPr="005C3845">
        <w:rPr>
          <w:i/>
          <w:iCs/>
          <w:vertAlign w:val="subscript"/>
          <w:lang w:val="en-US"/>
        </w:rPr>
        <w:t>2</w:t>
      </w:r>
      <w:r w:rsidRPr="005C3845">
        <w:rPr>
          <w:i/>
          <w:iCs/>
          <w:lang w:val="en-US"/>
        </w:rPr>
        <w:t>, …, TE</w:t>
      </w:r>
      <w:r w:rsidRPr="005C3845">
        <w:rPr>
          <w:i/>
          <w:iCs/>
          <w:vertAlign w:val="subscript"/>
          <w:lang w:val="en-US"/>
        </w:rPr>
        <w:t>N</w:t>
      </w:r>
      <w:r w:rsidRPr="005C3845">
        <w:rPr>
          <w:i/>
          <w:iCs/>
          <w:lang w:val="en-US"/>
        </w:rPr>
        <w:t>} will be defined in Perf part.</w:t>
      </w:r>
    </w:p>
    <w:p w14:paraId="15C4F1CF" w14:textId="77777777" w:rsidR="00EC617D" w:rsidRPr="005C3845" w:rsidRDefault="00EC617D" w:rsidP="00EC617D">
      <w:pPr>
        <w:pStyle w:val="ListParagraph"/>
        <w:numPr>
          <w:ilvl w:val="0"/>
          <w:numId w:val="27"/>
        </w:numPr>
        <w:ind w:firstLineChars="0"/>
        <w:rPr>
          <w:b/>
          <w:bCs/>
          <w:i/>
          <w:iCs/>
          <w:sz w:val="22"/>
          <w:szCs w:val="22"/>
          <w:lang w:val="en-US"/>
        </w:rPr>
      </w:pPr>
      <w:r w:rsidRPr="005C3845">
        <w:rPr>
          <w:rFonts w:eastAsiaTheme="minorEastAsia"/>
          <w:i/>
          <w:iCs/>
          <w:lang w:val="en-US" w:eastAsia="zh-CN"/>
        </w:rPr>
        <w:t>RAN4 should finalize margins for RSTD and UE Rx-Tx measurement accuracy in Rel-16 before deciding on exact timing error margins for Rx, RxTx and Tx TEGs.</w:t>
      </w:r>
    </w:p>
    <w:p w14:paraId="3F7D520A" w14:textId="7A3CD3F2" w:rsidR="00EC617D" w:rsidRPr="005C3845" w:rsidRDefault="00EC617D" w:rsidP="00EC617D">
      <w:pPr>
        <w:pStyle w:val="ListParagraph"/>
        <w:numPr>
          <w:ilvl w:val="0"/>
          <w:numId w:val="27"/>
        </w:numPr>
        <w:ind w:firstLineChars="0"/>
        <w:rPr>
          <w:b/>
          <w:bCs/>
          <w:i/>
          <w:iCs/>
          <w:sz w:val="22"/>
          <w:szCs w:val="22"/>
          <w:lang w:val="en-US"/>
        </w:rPr>
      </w:pPr>
      <w:r w:rsidRPr="005C3845">
        <w:rPr>
          <w:rFonts w:eastAsiaTheme="minorEastAsia"/>
          <w:i/>
          <w:iCs/>
          <w:lang w:val="en-US" w:eastAsia="zh-CN"/>
        </w:rPr>
        <w:t>The candidate values of timing error margins associated with UE/TRP Rx TEGs, Tx TEGs and RxTx TEGs will be defined in Perf part.</w:t>
      </w:r>
    </w:p>
    <w:p w14:paraId="0A9BDA69" w14:textId="76186E82" w:rsidR="004A41C2" w:rsidRPr="001E410F" w:rsidRDefault="007C3F5C" w:rsidP="004A41C2">
      <w:pPr>
        <w:rPr>
          <w:sz w:val="22"/>
          <w:szCs w:val="22"/>
          <w:lang w:val="en-US"/>
        </w:rPr>
      </w:pPr>
      <w:r w:rsidRPr="001E410F">
        <w:rPr>
          <w:sz w:val="22"/>
          <w:szCs w:val="22"/>
          <w:lang w:val="en-US"/>
        </w:rPr>
        <w:t xml:space="preserve">In this contribution </w:t>
      </w:r>
      <w:r w:rsidR="003F27E1">
        <w:rPr>
          <w:sz w:val="22"/>
          <w:szCs w:val="22"/>
          <w:lang w:val="en-US"/>
        </w:rPr>
        <w:t>we present our view on accuracy requirement</w:t>
      </w:r>
      <w:r w:rsidR="006A4FB7">
        <w:rPr>
          <w:sz w:val="22"/>
          <w:szCs w:val="22"/>
          <w:lang w:val="en-US"/>
        </w:rPr>
        <w:t xml:space="preserve"> for TEG based measurements</w:t>
      </w:r>
      <w:r w:rsidR="00204539">
        <w:rPr>
          <w:sz w:val="22"/>
          <w:szCs w:val="22"/>
          <w:lang w:val="en-US"/>
        </w:rPr>
        <w:t>, and the measurement reporting conditions based on TEG margin values</w:t>
      </w:r>
      <w:r w:rsidR="003F27E1">
        <w:rPr>
          <w:sz w:val="22"/>
          <w:szCs w:val="22"/>
          <w:lang w:val="en-US"/>
        </w:rPr>
        <w:t>.</w:t>
      </w:r>
    </w:p>
    <w:p w14:paraId="2515EB61" w14:textId="7856C07E" w:rsidR="00EC617D" w:rsidRPr="001E410F" w:rsidRDefault="0020137D" w:rsidP="0020137D">
      <w:pPr>
        <w:pStyle w:val="Heading1"/>
        <w:rPr>
          <w:lang w:val="en-US"/>
        </w:rPr>
      </w:pPr>
      <w:r w:rsidRPr="001E410F">
        <w:rPr>
          <w:lang w:val="en-US"/>
        </w:rPr>
        <w:t>Discussion</w:t>
      </w:r>
    </w:p>
    <w:p w14:paraId="34D30D97" w14:textId="1640D952" w:rsidR="00A643DA" w:rsidRPr="001E410F" w:rsidRDefault="00A643DA" w:rsidP="008C241C">
      <w:pPr>
        <w:pStyle w:val="Heading2"/>
        <w:rPr>
          <w:lang w:val="en-US"/>
        </w:rPr>
      </w:pPr>
      <w:r w:rsidRPr="001E410F">
        <w:rPr>
          <w:lang w:val="en-US"/>
        </w:rPr>
        <w:t xml:space="preserve">Impact of </w:t>
      </w:r>
      <w:r w:rsidR="009D172C">
        <w:rPr>
          <w:lang w:val="en-US"/>
        </w:rPr>
        <w:t xml:space="preserve">UE </w:t>
      </w:r>
      <w:r w:rsidRPr="001E410F">
        <w:rPr>
          <w:lang w:val="en-US"/>
        </w:rPr>
        <w:t xml:space="preserve">Rx TEGs on </w:t>
      </w:r>
      <w:r w:rsidR="00FE19FE" w:rsidRPr="001E410F">
        <w:rPr>
          <w:lang w:val="en-US"/>
        </w:rPr>
        <w:t xml:space="preserve">measurement </w:t>
      </w:r>
      <w:r w:rsidRPr="001E410F">
        <w:rPr>
          <w:lang w:val="en-US"/>
        </w:rPr>
        <w:t>accuracy requirements</w:t>
      </w:r>
    </w:p>
    <w:p w14:paraId="6C1DFEEA" w14:textId="45CDF06E" w:rsidR="0074422F" w:rsidRDefault="001E410F" w:rsidP="00610457">
      <w:pPr>
        <w:jc w:val="both"/>
        <w:rPr>
          <w:lang w:val="en-US"/>
        </w:rPr>
      </w:pPr>
      <w:r>
        <w:rPr>
          <w:lang w:val="en-US"/>
        </w:rPr>
        <w:t xml:space="preserve">In the discussions to follow, </w:t>
      </w:r>
      <w:r w:rsidR="00A029B8">
        <w:rPr>
          <w:lang w:val="en-US"/>
        </w:rPr>
        <w:t>positioning scenario in Figure 1 is considered</w:t>
      </w:r>
      <w:r w:rsidR="009F6829">
        <w:rPr>
          <w:lang w:val="en-US"/>
        </w:rPr>
        <w:t>,</w:t>
      </w:r>
      <w:r w:rsidR="00A029B8">
        <w:rPr>
          <w:lang w:val="en-US"/>
        </w:rPr>
        <w:t xml:space="preserve"> where a UE </w:t>
      </w:r>
      <w:r w:rsidR="00D503DE">
        <w:rPr>
          <w:lang w:val="en-US"/>
        </w:rPr>
        <w:t xml:space="preserve">with two Rx TEGs is performing </w:t>
      </w:r>
      <w:r w:rsidR="00936C95">
        <w:rPr>
          <w:lang w:val="en-US"/>
        </w:rPr>
        <w:t xml:space="preserve">RSTD </w:t>
      </w:r>
      <w:r w:rsidR="00D503DE">
        <w:rPr>
          <w:lang w:val="en-US"/>
        </w:rPr>
        <w:t>measurement</w:t>
      </w:r>
      <w:r w:rsidR="00145C21">
        <w:rPr>
          <w:lang w:val="en-US"/>
        </w:rPr>
        <w:t xml:space="preserve"> on PRS transmitted from 4 TRPs. </w:t>
      </w:r>
      <w:r w:rsidR="00D71F9E">
        <w:rPr>
          <w:lang w:val="en-US"/>
        </w:rPr>
        <w:t xml:space="preserve">The reference TRP for RSTD measurement is indicated as REF-TRP in the figure. </w:t>
      </w:r>
      <w:r w:rsidR="00557962">
        <w:rPr>
          <w:lang w:val="en-US"/>
        </w:rPr>
        <w:t>Likewise n</w:t>
      </w:r>
      <w:r w:rsidR="00D71F9E">
        <w:rPr>
          <w:lang w:val="en-US"/>
        </w:rPr>
        <w:t xml:space="preserve">eighbor TRPs </w:t>
      </w:r>
      <w:r w:rsidR="00A45EA3">
        <w:rPr>
          <w:lang w:val="en-US"/>
        </w:rPr>
        <w:t>for RSTD measurement are indicated as TRP1, TRP2, and TRP3 in the figure.</w:t>
      </w:r>
      <w:r w:rsidR="00232D88">
        <w:rPr>
          <w:lang w:val="en-US"/>
        </w:rPr>
        <w:t xml:space="preserve"> </w:t>
      </w:r>
      <w:r w:rsidR="00850A69">
        <w:rPr>
          <w:lang w:val="en-US"/>
        </w:rPr>
        <w:t xml:space="preserve">Timing error in </w:t>
      </w:r>
      <w:r w:rsidR="00232D88">
        <w:rPr>
          <w:lang w:val="en-US"/>
        </w:rPr>
        <w:t xml:space="preserve">Rx TEG1 </w:t>
      </w:r>
      <w:r w:rsidR="00850A69">
        <w:rPr>
          <w:lang w:val="en-US"/>
        </w:rPr>
        <w:t>is within timing error margin 1 (TEM1) and the timing error in Rx TEG2 is within timing error margin 2 (TEM2).</w:t>
      </w:r>
      <w:r w:rsidR="00610457">
        <w:rPr>
          <w:lang w:val="en-US"/>
        </w:rPr>
        <w:t xml:space="preserve"> </w:t>
      </w:r>
    </w:p>
    <w:p w14:paraId="14478307" w14:textId="4E49BEC9" w:rsidR="00DB5032" w:rsidRDefault="001258F7" w:rsidP="00DB5032">
      <w:pPr>
        <w:keepNext/>
        <w:jc w:val="center"/>
      </w:pPr>
      <w:r>
        <w:rPr>
          <w:noProof/>
        </w:rPr>
        <w:lastRenderedPageBreak/>
        <w:drawing>
          <wp:inline distT="0" distB="0" distL="0" distR="0" wp14:anchorId="7E29151C" wp14:editId="4509DC66">
            <wp:extent cx="2709827" cy="2958055"/>
            <wp:effectExtent l="0" t="0" r="0" b="127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731774" cy="2982013"/>
                    </a:xfrm>
                    <a:prstGeom prst="rect">
                      <a:avLst/>
                    </a:prstGeom>
                  </pic:spPr>
                </pic:pic>
              </a:graphicData>
            </a:graphic>
          </wp:inline>
        </w:drawing>
      </w:r>
    </w:p>
    <w:p w14:paraId="72FF5DB2" w14:textId="3B0587D4" w:rsidR="00DB5032" w:rsidRDefault="00DB5032" w:rsidP="001258F7">
      <w:pPr>
        <w:pStyle w:val="Caption"/>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214699">
        <w:t>UE Rx TEG and positioning measurements.</w:t>
      </w:r>
      <w:r w:rsidR="001258F7">
        <w:t xml:space="preserve"> In this</w:t>
      </w:r>
      <w:r w:rsidR="001258F7" w:rsidRPr="001258F7">
        <w:t xml:space="preserve"> </w:t>
      </w:r>
      <w:r w:rsidR="001258F7">
        <w:t>e</w:t>
      </w:r>
      <w:r w:rsidR="001258F7" w:rsidRPr="002A2600">
        <w:t xml:space="preserve">xample scenario showing a UE with 2 </w:t>
      </w:r>
      <w:r w:rsidR="00B876E3">
        <w:t xml:space="preserve">Rx </w:t>
      </w:r>
      <w:r w:rsidR="001258F7" w:rsidRPr="002A2600">
        <w:t>TEGs</w:t>
      </w:r>
      <w:r w:rsidR="001258F7">
        <w:t xml:space="preserve"> </w:t>
      </w:r>
      <w:r w:rsidR="001258F7" w:rsidRPr="002A2600">
        <w:t>performing PRS measurement from 4 TRPs during a positioning occasion.</w:t>
      </w:r>
    </w:p>
    <w:p w14:paraId="3E0FD149" w14:textId="3748961F" w:rsidR="00B876E3" w:rsidRDefault="00B876E3" w:rsidP="00610457">
      <w:pPr>
        <w:jc w:val="both"/>
        <w:rPr>
          <w:lang w:val="en-US"/>
        </w:rPr>
      </w:pPr>
    </w:p>
    <w:p w14:paraId="76B402A4" w14:textId="306B28B5" w:rsidR="00D27676" w:rsidRPr="00D27676" w:rsidRDefault="00D27676" w:rsidP="00610457">
      <w:pPr>
        <w:jc w:val="both"/>
        <w:rPr>
          <w:lang w:val="en-US"/>
        </w:rPr>
      </w:pPr>
      <w:r w:rsidRPr="00D27676">
        <w:rPr>
          <w:lang w:val="en-US"/>
        </w:rPr>
        <w:t>In the given scenario, following measurement cases may arise:</w:t>
      </w:r>
    </w:p>
    <w:p w14:paraId="5B91838A" w14:textId="77777777" w:rsidR="00D27676" w:rsidRPr="00D27676" w:rsidRDefault="00D27676" w:rsidP="00D27676">
      <w:pPr>
        <w:pStyle w:val="IvDInstructiontext"/>
        <w:rPr>
          <w:rStyle w:val="IvDbodytextChar"/>
          <w:rFonts w:ascii="Times New Roman" w:hAnsi="Times New Roman"/>
          <w:i w:val="0"/>
          <w:color w:val="auto"/>
          <w:sz w:val="20"/>
          <w:szCs w:val="20"/>
        </w:rPr>
      </w:pPr>
      <w:r w:rsidRPr="00D27676">
        <w:rPr>
          <w:rStyle w:val="IvDbodytextChar"/>
          <w:rFonts w:ascii="Times New Roman" w:hAnsi="Times New Roman"/>
          <w:b/>
          <w:bCs/>
          <w:i w:val="0"/>
          <w:color w:val="auto"/>
          <w:sz w:val="20"/>
          <w:szCs w:val="20"/>
          <w:u w:val="single"/>
        </w:rPr>
        <w:t># Case I: UE measures PRS from reference TRP and TRP1 from Rx TEG1</w:t>
      </w:r>
    </w:p>
    <w:p w14:paraId="78701946" w14:textId="77777777" w:rsidR="00D27676" w:rsidRPr="00D27676" w:rsidRDefault="00D27676" w:rsidP="00D27676">
      <w:pPr>
        <w:pStyle w:val="IvDInstructiontext"/>
        <w:rPr>
          <w:rStyle w:val="IvDbodytextChar"/>
          <w:rFonts w:ascii="Times New Roman" w:hAnsi="Times New Roman"/>
          <w:i w:val="0"/>
          <w:color w:val="auto"/>
          <w:sz w:val="20"/>
          <w:szCs w:val="20"/>
        </w:rPr>
      </w:pPr>
      <w:r w:rsidRPr="00D27676">
        <w:rPr>
          <w:rStyle w:val="IvDbodytextChar"/>
          <w:rFonts w:ascii="Times New Roman" w:hAnsi="Times New Roman"/>
          <w:i w:val="0"/>
          <w:color w:val="auto"/>
          <w:sz w:val="20"/>
          <w:szCs w:val="20"/>
        </w:rPr>
        <w:t>RSTD measurement between reference TRP and TRP1 in this case takes the form:</w:t>
      </w:r>
    </w:p>
    <w:p w14:paraId="7F8691F4" w14:textId="77777777" w:rsidR="00D27676" w:rsidRPr="00D27676" w:rsidRDefault="00F33FF0" w:rsidP="00D27676">
      <w:pPr>
        <w:pStyle w:val="IvDInstructiontext"/>
        <w:rPr>
          <w:rFonts w:ascii="Times New Roman" w:hAnsi="Times New Roman"/>
          <w:i w:val="0"/>
          <w:iCs/>
          <w:color w:val="auto"/>
          <w:sz w:val="20"/>
          <w:szCs w:val="20"/>
        </w:rPr>
      </w:pPr>
      <m:oMath>
        <m:sSub>
          <m:sSubPr>
            <m:ctrlPr>
              <w:rPr>
                <w:rFonts w:ascii="Cambria Math" w:hAnsi="Cambria Math"/>
                <w:i w:val="0"/>
                <w:iCs/>
                <w:color w:val="auto"/>
                <w:sz w:val="20"/>
                <w:szCs w:val="20"/>
              </w:rPr>
            </m:ctrlPr>
          </m:sSubPr>
          <m:e>
            <m:r>
              <w:rPr>
                <w:rFonts w:ascii="Cambria Math" w:hAnsi="Cambria Math"/>
                <w:color w:val="auto"/>
                <w:sz w:val="20"/>
                <w:szCs w:val="20"/>
              </w:rPr>
              <m:t>RSTD</m:t>
            </m:r>
          </m:e>
          <m:sub>
            <m:r>
              <w:rPr>
                <w:rFonts w:ascii="Cambria Math" w:hAnsi="Cambria Math"/>
                <w:color w:val="auto"/>
                <w:sz w:val="20"/>
                <w:szCs w:val="20"/>
              </w:rPr>
              <m:t>1,ref,s</m:t>
            </m:r>
          </m:sub>
        </m:sSub>
        <m:r>
          <w:rPr>
            <w:rFonts w:ascii="Cambria Math" w:hAnsi="Cambria Math"/>
            <w:color w:val="auto"/>
            <w:sz w:val="20"/>
            <w:szCs w:val="20"/>
          </w:rPr>
          <m:t>=</m:t>
        </m:r>
        <m:f>
          <m:fPr>
            <m:type m:val="lin"/>
            <m:ctrlPr>
              <w:rPr>
                <w:rFonts w:ascii="Cambria Math" w:hAnsi="Cambria Math"/>
                <w:i w:val="0"/>
                <w:iCs/>
                <w:color w:val="auto"/>
                <w:sz w:val="20"/>
                <w:szCs w:val="20"/>
              </w:rPr>
            </m:ctrlPr>
          </m:fPr>
          <m:num>
            <m:d>
              <m:dPr>
                <m:ctrlPr>
                  <w:rPr>
                    <w:rFonts w:ascii="Cambria Math" w:hAnsi="Cambria Math"/>
                    <w:i w:val="0"/>
                    <w:iCs/>
                    <w:color w:val="auto"/>
                    <w:sz w:val="20"/>
                    <w:szCs w:val="20"/>
                  </w:rPr>
                </m:ctrlPr>
              </m:dPr>
              <m:e>
                <m:sSub>
                  <m:sSubPr>
                    <m:ctrlPr>
                      <w:rPr>
                        <w:rFonts w:ascii="Cambria Math" w:hAnsi="Cambria Math"/>
                        <w:i w:val="0"/>
                        <w:iCs/>
                        <w:color w:val="auto"/>
                        <w:sz w:val="20"/>
                        <w:szCs w:val="20"/>
                      </w:rPr>
                    </m:ctrlPr>
                  </m:sSubPr>
                  <m:e>
                    <m:r>
                      <w:rPr>
                        <w:rFonts w:ascii="Cambria Math" w:hAnsi="Cambria Math"/>
                        <w:color w:val="auto"/>
                        <w:sz w:val="20"/>
                        <w:szCs w:val="20"/>
                      </w:rPr>
                      <m:t>d</m:t>
                    </m:r>
                  </m:e>
                  <m:sub>
                    <m:r>
                      <w:rPr>
                        <w:rFonts w:ascii="Cambria Math" w:hAnsi="Cambria Math"/>
                        <w:color w:val="auto"/>
                        <w:sz w:val="20"/>
                        <w:szCs w:val="20"/>
                      </w:rPr>
                      <m:t>1</m:t>
                    </m:r>
                  </m:sub>
                </m:sSub>
                <m:r>
                  <w:rPr>
                    <w:rFonts w:ascii="Cambria Math" w:hAnsi="Cambria Math"/>
                    <w:color w:val="auto"/>
                    <w:sz w:val="20"/>
                    <w:szCs w:val="20"/>
                  </w:rPr>
                  <m:t>-</m:t>
                </m:r>
                <m:sSub>
                  <m:sSubPr>
                    <m:ctrlPr>
                      <w:rPr>
                        <w:rFonts w:ascii="Cambria Math" w:hAnsi="Cambria Math"/>
                        <w:i w:val="0"/>
                        <w:iCs/>
                        <w:color w:val="auto"/>
                        <w:sz w:val="20"/>
                        <w:szCs w:val="20"/>
                      </w:rPr>
                    </m:ctrlPr>
                  </m:sSubPr>
                  <m:e>
                    <m:r>
                      <w:rPr>
                        <w:rFonts w:ascii="Cambria Math" w:hAnsi="Cambria Math"/>
                        <w:color w:val="auto"/>
                        <w:sz w:val="20"/>
                        <w:szCs w:val="20"/>
                      </w:rPr>
                      <m:t>d</m:t>
                    </m:r>
                  </m:e>
                  <m:sub>
                    <m:r>
                      <w:rPr>
                        <w:rFonts w:ascii="Cambria Math" w:hAnsi="Cambria Math"/>
                        <w:color w:val="auto"/>
                        <w:sz w:val="20"/>
                        <w:szCs w:val="20"/>
                      </w:rPr>
                      <m:t>ref</m:t>
                    </m:r>
                  </m:sub>
                </m:sSub>
              </m:e>
            </m:d>
          </m:num>
          <m:den>
            <m:r>
              <w:rPr>
                <w:rFonts w:ascii="Cambria Math" w:hAnsi="Cambria Math"/>
                <w:color w:val="auto"/>
                <w:sz w:val="20"/>
                <w:szCs w:val="20"/>
              </w:rPr>
              <m:t>c</m:t>
            </m:r>
          </m:den>
        </m:f>
        <m:r>
          <w:rPr>
            <w:rFonts w:ascii="Cambria Math" w:hAnsi="Cambria Math"/>
            <w:color w:val="auto"/>
            <w:sz w:val="20"/>
            <w:szCs w:val="20"/>
          </w:rPr>
          <m:t>,</m:t>
        </m:r>
      </m:oMath>
      <w:r w:rsidR="00D27676" w:rsidRPr="00D27676">
        <w:rPr>
          <w:rFonts w:ascii="Times New Roman" w:hAnsi="Times New Roman"/>
          <w:i w:val="0"/>
          <w:iCs/>
          <w:color w:val="auto"/>
          <w:sz w:val="20"/>
          <w:szCs w:val="20"/>
        </w:rPr>
        <w:t xml:space="preserve"> </w:t>
      </w:r>
    </w:p>
    <w:p w14:paraId="689A43D6" w14:textId="766D234C" w:rsidR="00D27676" w:rsidRPr="00D27676" w:rsidRDefault="00D27676" w:rsidP="00D27676">
      <w:pPr>
        <w:pStyle w:val="IvDInstructiontext"/>
        <w:rPr>
          <w:rFonts w:ascii="Times New Roman" w:hAnsi="Times New Roman"/>
          <w:i w:val="0"/>
          <w:iCs/>
          <w:color w:val="auto"/>
          <w:sz w:val="20"/>
          <w:szCs w:val="20"/>
        </w:rPr>
      </w:pPr>
      <w:r w:rsidRPr="00D27676">
        <w:rPr>
          <w:rFonts w:ascii="Times New Roman" w:hAnsi="Times New Roman"/>
          <w:i w:val="0"/>
          <w:iCs/>
          <w:color w:val="auto"/>
          <w:sz w:val="20"/>
          <w:szCs w:val="20"/>
        </w:rPr>
        <w:t>where c is the speed of light, d</w:t>
      </w:r>
      <w:r w:rsidRPr="00D27676">
        <w:rPr>
          <w:rFonts w:ascii="Times New Roman" w:hAnsi="Times New Roman"/>
          <w:i w:val="0"/>
          <w:iCs/>
          <w:color w:val="auto"/>
          <w:sz w:val="20"/>
          <w:szCs w:val="20"/>
          <w:vertAlign w:val="subscript"/>
        </w:rPr>
        <w:t>1</w:t>
      </w:r>
      <w:r w:rsidRPr="00D27676">
        <w:rPr>
          <w:rFonts w:ascii="Times New Roman" w:hAnsi="Times New Roman"/>
          <w:i w:val="0"/>
          <w:iCs/>
          <w:color w:val="auto"/>
          <w:sz w:val="20"/>
          <w:szCs w:val="20"/>
        </w:rPr>
        <w:t xml:space="preserve"> is the estimated distance between UE and TRP1 and </w:t>
      </w:r>
      <w:proofErr w:type="spellStart"/>
      <w:r w:rsidRPr="00D27676">
        <w:rPr>
          <w:rFonts w:ascii="Times New Roman" w:hAnsi="Times New Roman"/>
          <w:i w:val="0"/>
          <w:iCs/>
          <w:color w:val="auto"/>
          <w:sz w:val="20"/>
          <w:szCs w:val="20"/>
        </w:rPr>
        <w:t>d</w:t>
      </w:r>
      <w:r w:rsidRPr="00D27676">
        <w:rPr>
          <w:rFonts w:ascii="Times New Roman" w:hAnsi="Times New Roman"/>
          <w:i w:val="0"/>
          <w:iCs/>
          <w:color w:val="auto"/>
          <w:sz w:val="20"/>
          <w:szCs w:val="20"/>
          <w:vertAlign w:val="subscript"/>
        </w:rPr>
        <w:t>ref</w:t>
      </w:r>
      <w:proofErr w:type="spellEnd"/>
      <w:r w:rsidRPr="00D27676">
        <w:rPr>
          <w:rFonts w:ascii="Times New Roman" w:hAnsi="Times New Roman"/>
          <w:i w:val="0"/>
          <w:iCs/>
          <w:color w:val="auto"/>
          <w:sz w:val="20"/>
          <w:szCs w:val="20"/>
        </w:rPr>
        <w:t xml:space="preserve"> is the estimated distance between UE and reference TRP. </w:t>
      </w:r>
      <w:r w:rsidR="00AE7D48">
        <w:rPr>
          <w:rFonts w:ascii="Times New Roman" w:hAnsi="Times New Roman"/>
          <w:i w:val="0"/>
          <w:iCs/>
          <w:color w:val="auto"/>
          <w:sz w:val="20"/>
          <w:szCs w:val="20"/>
        </w:rPr>
        <w:t>Since</w:t>
      </w:r>
      <w:r w:rsidRPr="00D27676">
        <w:rPr>
          <w:rFonts w:ascii="Times New Roman" w:hAnsi="Times New Roman"/>
          <w:i w:val="0"/>
          <w:iCs/>
          <w:color w:val="auto"/>
          <w:sz w:val="20"/>
          <w:szCs w:val="20"/>
        </w:rPr>
        <w:t xml:space="preserve">, both target and reference TRPs are measured from </w:t>
      </w:r>
      <w:r w:rsidR="00AE7D48">
        <w:rPr>
          <w:rFonts w:ascii="Times New Roman" w:hAnsi="Times New Roman"/>
          <w:i w:val="0"/>
          <w:iCs/>
          <w:color w:val="auto"/>
          <w:sz w:val="20"/>
          <w:szCs w:val="20"/>
        </w:rPr>
        <w:t>same Rx TEG (</w:t>
      </w:r>
      <w:r w:rsidRPr="00D27676">
        <w:rPr>
          <w:rFonts w:ascii="Times New Roman" w:hAnsi="Times New Roman"/>
          <w:i w:val="0"/>
          <w:iCs/>
          <w:color w:val="auto"/>
          <w:sz w:val="20"/>
          <w:szCs w:val="20"/>
        </w:rPr>
        <w:t>Rx TEG1</w:t>
      </w:r>
      <w:r w:rsidR="00AE7D48">
        <w:rPr>
          <w:rFonts w:ascii="Times New Roman" w:hAnsi="Times New Roman"/>
          <w:i w:val="0"/>
          <w:iCs/>
          <w:color w:val="auto"/>
          <w:sz w:val="20"/>
          <w:szCs w:val="20"/>
        </w:rPr>
        <w:t>)</w:t>
      </w:r>
      <w:r w:rsidRPr="00D27676">
        <w:rPr>
          <w:rFonts w:ascii="Times New Roman" w:hAnsi="Times New Roman"/>
          <w:i w:val="0"/>
          <w:iCs/>
          <w:color w:val="auto"/>
          <w:sz w:val="20"/>
          <w:szCs w:val="20"/>
        </w:rPr>
        <w:t xml:space="preserve"> </w:t>
      </w:r>
      <w:r w:rsidR="00AE7D48">
        <w:rPr>
          <w:rFonts w:ascii="Times New Roman" w:hAnsi="Times New Roman"/>
          <w:i w:val="0"/>
          <w:iCs/>
          <w:color w:val="auto"/>
          <w:sz w:val="20"/>
          <w:szCs w:val="20"/>
        </w:rPr>
        <w:t>the timing error cancels out when RSTD is calculated</w:t>
      </w:r>
      <w:r w:rsidRPr="00D27676">
        <w:rPr>
          <w:rFonts w:ascii="Times New Roman" w:hAnsi="Times New Roman"/>
          <w:i w:val="0"/>
          <w:iCs/>
          <w:color w:val="auto"/>
          <w:sz w:val="20"/>
          <w:szCs w:val="20"/>
        </w:rPr>
        <w:t>.</w:t>
      </w:r>
    </w:p>
    <w:p w14:paraId="19FEB5A5" w14:textId="58DB5C4E" w:rsidR="00D27676" w:rsidRPr="00D27676" w:rsidRDefault="00D27676" w:rsidP="00D27676">
      <w:pPr>
        <w:pStyle w:val="IvDInstructiontext"/>
        <w:rPr>
          <w:rStyle w:val="IvDbodytextChar"/>
          <w:rFonts w:ascii="Times New Roman" w:hAnsi="Times New Roman"/>
          <w:b/>
          <w:bCs/>
          <w:i w:val="0"/>
          <w:color w:val="auto"/>
          <w:sz w:val="20"/>
          <w:szCs w:val="20"/>
          <w:u w:val="single"/>
        </w:rPr>
      </w:pPr>
      <w:r>
        <w:rPr>
          <w:rStyle w:val="IvDbodytextChar"/>
          <w:rFonts w:ascii="Times New Roman" w:hAnsi="Times New Roman"/>
          <w:b/>
          <w:bCs/>
          <w:i w:val="0"/>
          <w:color w:val="auto"/>
          <w:sz w:val="20"/>
          <w:szCs w:val="20"/>
          <w:u w:val="single"/>
        </w:rPr>
        <w:t xml:space="preserve"># </w:t>
      </w:r>
      <w:r w:rsidRPr="00D27676">
        <w:rPr>
          <w:rStyle w:val="IvDbodytextChar"/>
          <w:rFonts w:ascii="Times New Roman" w:hAnsi="Times New Roman"/>
          <w:b/>
          <w:bCs/>
          <w:i w:val="0"/>
          <w:color w:val="auto"/>
          <w:sz w:val="20"/>
          <w:szCs w:val="20"/>
          <w:u w:val="single"/>
        </w:rPr>
        <w:t>Case II: UE measures PRS from reference TRP and TRP2 from Rx TEG2</w:t>
      </w:r>
    </w:p>
    <w:p w14:paraId="5B8B2FEA" w14:textId="77777777" w:rsidR="00D27676" w:rsidRPr="00D27676" w:rsidRDefault="00D27676" w:rsidP="00D27676">
      <w:pPr>
        <w:pStyle w:val="IvDInstructiontext"/>
        <w:rPr>
          <w:rStyle w:val="IvDbodytextChar"/>
          <w:rFonts w:ascii="Times New Roman" w:hAnsi="Times New Roman"/>
          <w:i w:val="0"/>
          <w:color w:val="auto"/>
          <w:sz w:val="20"/>
          <w:szCs w:val="20"/>
        </w:rPr>
      </w:pPr>
      <w:r w:rsidRPr="00D27676">
        <w:rPr>
          <w:rStyle w:val="IvDbodytextChar"/>
          <w:rFonts w:ascii="Times New Roman" w:hAnsi="Times New Roman"/>
          <w:i w:val="0"/>
          <w:color w:val="auto"/>
          <w:sz w:val="20"/>
          <w:szCs w:val="20"/>
        </w:rPr>
        <w:t>RSTD measurement between reference TRP and TRP2 in this case takes the form:</w:t>
      </w:r>
    </w:p>
    <w:p w14:paraId="05BA0DF6" w14:textId="77777777" w:rsidR="00D27676" w:rsidRPr="00D27676" w:rsidRDefault="00F33FF0" w:rsidP="00D27676">
      <w:pPr>
        <w:pStyle w:val="IvDInstructiontext"/>
        <w:rPr>
          <w:rFonts w:ascii="Times New Roman" w:hAnsi="Times New Roman"/>
          <w:i w:val="0"/>
          <w:iCs/>
          <w:color w:val="auto"/>
          <w:sz w:val="20"/>
          <w:szCs w:val="20"/>
        </w:rPr>
      </w:pPr>
      <m:oMath>
        <m:sSub>
          <m:sSubPr>
            <m:ctrlPr>
              <w:rPr>
                <w:rFonts w:ascii="Cambria Math" w:hAnsi="Cambria Math"/>
                <w:i w:val="0"/>
                <w:iCs/>
                <w:color w:val="auto"/>
                <w:sz w:val="20"/>
                <w:szCs w:val="20"/>
              </w:rPr>
            </m:ctrlPr>
          </m:sSubPr>
          <m:e>
            <m:r>
              <w:rPr>
                <w:rFonts w:ascii="Cambria Math" w:hAnsi="Cambria Math"/>
                <w:color w:val="auto"/>
                <w:sz w:val="20"/>
                <w:szCs w:val="20"/>
              </w:rPr>
              <m:t>RSTD</m:t>
            </m:r>
          </m:e>
          <m:sub>
            <m:r>
              <w:rPr>
                <w:rFonts w:ascii="Cambria Math" w:hAnsi="Cambria Math"/>
                <w:color w:val="auto"/>
                <w:sz w:val="20"/>
                <w:szCs w:val="20"/>
              </w:rPr>
              <m:t>2,ref,s</m:t>
            </m:r>
          </m:sub>
        </m:sSub>
        <m:r>
          <w:rPr>
            <w:rFonts w:ascii="Cambria Math" w:hAnsi="Cambria Math"/>
            <w:color w:val="auto"/>
            <w:sz w:val="20"/>
            <w:szCs w:val="20"/>
          </w:rPr>
          <m:t>=</m:t>
        </m:r>
        <m:f>
          <m:fPr>
            <m:type m:val="lin"/>
            <m:ctrlPr>
              <w:rPr>
                <w:rFonts w:ascii="Cambria Math" w:hAnsi="Cambria Math"/>
                <w:i w:val="0"/>
                <w:iCs/>
                <w:color w:val="auto"/>
                <w:sz w:val="20"/>
                <w:szCs w:val="20"/>
              </w:rPr>
            </m:ctrlPr>
          </m:fPr>
          <m:num>
            <m:d>
              <m:dPr>
                <m:ctrlPr>
                  <w:rPr>
                    <w:rFonts w:ascii="Cambria Math" w:hAnsi="Cambria Math"/>
                    <w:i w:val="0"/>
                    <w:iCs/>
                    <w:color w:val="auto"/>
                    <w:sz w:val="20"/>
                    <w:szCs w:val="20"/>
                  </w:rPr>
                </m:ctrlPr>
              </m:dPr>
              <m:e>
                <m:sSub>
                  <m:sSubPr>
                    <m:ctrlPr>
                      <w:rPr>
                        <w:rFonts w:ascii="Cambria Math" w:hAnsi="Cambria Math"/>
                        <w:i w:val="0"/>
                        <w:iCs/>
                        <w:color w:val="auto"/>
                        <w:sz w:val="20"/>
                        <w:szCs w:val="20"/>
                      </w:rPr>
                    </m:ctrlPr>
                  </m:sSubPr>
                  <m:e>
                    <m:r>
                      <w:rPr>
                        <w:rFonts w:ascii="Cambria Math" w:hAnsi="Cambria Math"/>
                        <w:color w:val="auto"/>
                        <w:sz w:val="20"/>
                        <w:szCs w:val="20"/>
                      </w:rPr>
                      <m:t>d</m:t>
                    </m:r>
                  </m:e>
                  <m:sub>
                    <m:r>
                      <w:rPr>
                        <w:rFonts w:ascii="Cambria Math" w:hAnsi="Cambria Math"/>
                        <w:color w:val="auto"/>
                        <w:sz w:val="20"/>
                        <w:szCs w:val="20"/>
                      </w:rPr>
                      <m:t>2</m:t>
                    </m:r>
                  </m:sub>
                </m:sSub>
                <m:r>
                  <w:rPr>
                    <w:rFonts w:ascii="Cambria Math" w:hAnsi="Cambria Math"/>
                    <w:color w:val="auto"/>
                    <w:sz w:val="20"/>
                    <w:szCs w:val="20"/>
                  </w:rPr>
                  <m:t>-</m:t>
                </m:r>
                <m:sSub>
                  <m:sSubPr>
                    <m:ctrlPr>
                      <w:rPr>
                        <w:rFonts w:ascii="Cambria Math" w:hAnsi="Cambria Math"/>
                        <w:i w:val="0"/>
                        <w:iCs/>
                        <w:color w:val="auto"/>
                        <w:sz w:val="20"/>
                        <w:szCs w:val="20"/>
                      </w:rPr>
                    </m:ctrlPr>
                  </m:sSubPr>
                  <m:e>
                    <m:r>
                      <w:rPr>
                        <w:rFonts w:ascii="Cambria Math" w:hAnsi="Cambria Math"/>
                        <w:color w:val="auto"/>
                        <w:sz w:val="20"/>
                        <w:szCs w:val="20"/>
                      </w:rPr>
                      <m:t>d</m:t>
                    </m:r>
                  </m:e>
                  <m:sub>
                    <m:r>
                      <w:rPr>
                        <w:rFonts w:ascii="Cambria Math" w:hAnsi="Cambria Math"/>
                        <w:color w:val="auto"/>
                        <w:sz w:val="20"/>
                        <w:szCs w:val="20"/>
                      </w:rPr>
                      <m:t>ref</m:t>
                    </m:r>
                  </m:sub>
                </m:sSub>
              </m:e>
            </m:d>
          </m:num>
          <m:den>
            <m:r>
              <w:rPr>
                <w:rFonts w:ascii="Cambria Math" w:hAnsi="Cambria Math"/>
                <w:color w:val="auto"/>
                <w:sz w:val="20"/>
                <w:szCs w:val="20"/>
              </w:rPr>
              <m:t>c</m:t>
            </m:r>
          </m:den>
        </m:f>
        <m:r>
          <w:rPr>
            <w:rFonts w:ascii="Cambria Math" w:hAnsi="Cambria Math"/>
            <w:color w:val="auto"/>
            <w:sz w:val="20"/>
            <w:szCs w:val="20"/>
          </w:rPr>
          <m:t>,</m:t>
        </m:r>
      </m:oMath>
      <w:r w:rsidR="00D27676" w:rsidRPr="00D27676">
        <w:rPr>
          <w:rFonts w:ascii="Times New Roman" w:hAnsi="Times New Roman"/>
          <w:i w:val="0"/>
          <w:iCs/>
          <w:color w:val="auto"/>
          <w:sz w:val="20"/>
          <w:szCs w:val="20"/>
        </w:rPr>
        <w:t xml:space="preserve"> </w:t>
      </w:r>
    </w:p>
    <w:p w14:paraId="73E677CA" w14:textId="49C2E19A" w:rsidR="00064CDC" w:rsidRDefault="00D27676" w:rsidP="00D27676">
      <w:pPr>
        <w:pStyle w:val="IvDInstructiontext"/>
        <w:rPr>
          <w:rFonts w:ascii="Times New Roman" w:hAnsi="Times New Roman"/>
          <w:i w:val="0"/>
          <w:iCs/>
          <w:color w:val="auto"/>
          <w:sz w:val="20"/>
          <w:szCs w:val="20"/>
        </w:rPr>
      </w:pPr>
      <w:r w:rsidRPr="00D27676">
        <w:rPr>
          <w:rFonts w:ascii="Times New Roman" w:hAnsi="Times New Roman"/>
          <w:i w:val="0"/>
          <w:iCs/>
          <w:color w:val="auto"/>
          <w:sz w:val="20"/>
          <w:szCs w:val="20"/>
        </w:rPr>
        <w:t>where d</w:t>
      </w:r>
      <w:r w:rsidRPr="00D27676">
        <w:rPr>
          <w:rFonts w:ascii="Times New Roman" w:hAnsi="Times New Roman"/>
          <w:i w:val="0"/>
          <w:iCs/>
          <w:color w:val="auto"/>
          <w:sz w:val="20"/>
          <w:szCs w:val="20"/>
          <w:vertAlign w:val="subscript"/>
        </w:rPr>
        <w:t>2</w:t>
      </w:r>
      <w:r w:rsidRPr="00D27676">
        <w:rPr>
          <w:rFonts w:ascii="Times New Roman" w:hAnsi="Times New Roman"/>
          <w:i w:val="0"/>
          <w:iCs/>
          <w:color w:val="auto"/>
          <w:sz w:val="20"/>
          <w:szCs w:val="20"/>
        </w:rPr>
        <w:t xml:space="preserve"> is the estimated distance between UE and TRP2. </w:t>
      </w:r>
      <w:r w:rsidR="00AE7D48">
        <w:rPr>
          <w:rFonts w:ascii="Times New Roman" w:hAnsi="Times New Roman"/>
          <w:i w:val="0"/>
          <w:iCs/>
          <w:color w:val="auto"/>
          <w:sz w:val="20"/>
          <w:szCs w:val="20"/>
        </w:rPr>
        <w:t>Since</w:t>
      </w:r>
      <w:r w:rsidR="00AE7D48" w:rsidRPr="00D27676">
        <w:rPr>
          <w:rFonts w:ascii="Times New Roman" w:hAnsi="Times New Roman"/>
          <w:i w:val="0"/>
          <w:iCs/>
          <w:color w:val="auto"/>
          <w:sz w:val="20"/>
          <w:szCs w:val="20"/>
        </w:rPr>
        <w:t xml:space="preserve">, both target and reference TRPs are measured from </w:t>
      </w:r>
      <w:r w:rsidR="00AE7D48">
        <w:rPr>
          <w:rFonts w:ascii="Times New Roman" w:hAnsi="Times New Roman"/>
          <w:i w:val="0"/>
          <w:iCs/>
          <w:color w:val="auto"/>
          <w:sz w:val="20"/>
          <w:szCs w:val="20"/>
        </w:rPr>
        <w:t>same Rx TEG (</w:t>
      </w:r>
      <w:r w:rsidR="00AE7D48" w:rsidRPr="00D27676">
        <w:rPr>
          <w:rFonts w:ascii="Times New Roman" w:hAnsi="Times New Roman"/>
          <w:i w:val="0"/>
          <w:iCs/>
          <w:color w:val="auto"/>
          <w:sz w:val="20"/>
          <w:szCs w:val="20"/>
        </w:rPr>
        <w:t>Rx TEG</w:t>
      </w:r>
      <w:r w:rsidR="00AE7D48">
        <w:rPr>
          <w:rFonts w:ascii="Times New Roman" w:hAnsi="Times New Roman"/>
          <w:i w:val="0"/>
          <w:iCs/>
          <w:color w:val="auto"/>
          <w:sz w:val="20"/>
          <w:szCs w:val="20"/>
        </w:rPr>
        <w:t>2)</w:t>
      </w:r>
      <w:r w:rsidR="00AE7D48" w:rsidRPr="00D27676">
        <w:rPr>
          <w:rFonts w:ascii="Times New Roman" w:hAnsi="Times New Roman"/>
          <w:i w:val="0"/>
          <w:iCs/>
          <w:color w:val="auto"/>
          <w:sz w:val="20"/>
          <w:szCs w:val="20"/>
        </w:rPr>
        <w:t xml:space="preserve"> </w:t>
      </w:r>
      <w:r w:rsidR="00AE7D48">
        <w:rPr>
          <w:rFonts w:ascii="Times New Roman" w:hAnsi="Times New Roman"/>
          <w:i w:val="0"/>
          <w:iCs/>
          <w:color w:val="auto"/>
          <w:sz w:val="20"/>
          <w:szCs w:val="20"/>
        </w:rPr>
        <w:t>the timing error cancels out when RSTD is calculated</w:t>
      </w:r>
      <w:r w:rsidR="00AE7D48" w:rsidRPr="00D27676">
        <w:rPr>
          <w:rFonts w:ascii="Times New Roman" w:hAnsi="Times New Roman"/>
          <w:i w:val="0"/>
          <w:iCs/>
          <w:color w:val="auto"/>
          <w:sz w:val="20"/>
          <w:szCs w:val="20"/>
        </w:rPr>
        <w:t>.</w:t>
      </w:r>
    </w:p>
    <w:p w14:paraId="5455AF94" w14:textId="77777777" w:rsidR="00F471E4" w:rsidRDefault="00F471E4" w:rsidP="00D27676">
      <w:pPr>
        <w:pStyle w:val="IvDInstructiontext"/>
        <w:rPr>
          <w:rFonts w:ascii="Times New Roman" w:hAnsi="Times New Roman"/>
          <w:i w:val="0"/>
          <w:iCs/>
          <w:color w:val="auto"/>
          <w:sz w:val="20"/>
          <w:szCs w:val="20"/>
        </w:rPr>
      </w:pPr>
    </w:p>
    <w:p w14:paraId="1FB89938" w14:textId="36436E65" w:rsidR="00232D88" w:rsidRDefault="00232D88" w:rsidP="00232D88">
      <w:pPr>
        <w:rPr>
          <w:rFonts w:eastAsiaTheme="minorEastAsia"/>
          <w:lang w:val="en-US"/>
        </w:rPr>
      </w:pPr>
      <w:r w:rsidRPr="001E410F">
        <w:rPr>
          <w:b/>
          <w:bCs/>
          <w:u w:val="single"/>
          <w:lang w:val="en-US"/>
        </w:rPr>
        <w:t>Observation #1</w:t>
      </w:r>
      <w:r w:rsidRPr="001E410F">
        <w:rPr>
          <w:lang w:val="en-US"/>
        </w:rPr>
        <w:t>: We note that the RSTD measurements for which UE Rx TEG association is same for reference and target TRPs, such as</w:t>
      </w:r>
      <w:r>
        <w:rPr>
          <w:lang w:val="en-US"/>
        </w:rPr>
        <w:t xml:space="preserve"> </w:t>
      </w:r>
      <m:oMath>
        <m:sSub>
          <m:sSubPr>
            <m:ctrlPr>
              <w:rPr>
                <w:rFonts w:ascii="Cambria Math" w:hAnsi="Cambria Math"/>
                <w:iCs/>
              </w:rPr>
            </m:ctrlPr>
          </m:sSubPr>
          <m:e>
            <m:r>
              <w:rPr>
                <w:rFonts w:ascii="Cambria Math" w:hAnsi="Cambria Math"/>
              </w:rPr>
              <m:t>RSTD</m:t>
            </m:r>
          </m:e>
          <m:sub>
            <m:r>
              <w:rPr>
                <w:rFonts w:ascii="Cambria Math" w:hAnsi="Cambria Math"/>
              </w:rPr>
              <m:t>1,ref,s</m:t>
            </m:r>
          </m:sub>
        </m:sSub>
      </m:oMath>
      <w:r w:rsidRPr="001E410F">
        <w:rPr>
          <w:rFonts w:eastAsiaTheme="minorEastAsia"/>
          <w:lang w:val="en-US"/>
        </w:rPr>
        <w:t>,</w:t>
      </w:r>
      <w:r w:rsidR="00064CDC">
        <w:rPr>
          <w:rFonts w:eastAsiaTheme="minorEastAsia"/>
          <w:lang w:val="en-US"/>
        </w:rPr>
        <w:t xml:space="preserve"> and </w:t>
      </w:r>
      <m:oMath>
        <m:sSub>
          <m:sSubPr>
            <m:ctrlPr>
              <w:rPr>
                <w:rFonts w:ascii="Cambria Math" w:hAnsi="Cambria Math"/>
                <w:iCs/>
              </w:rPr>
            </m:ctrlPr>
          </m:sSubPr>
          <m:e>
            <m:r>
              <w:rPr>
                <w:rFonts w:ascii="Cambria Math" w:hAnsi="Cambria Math"/>
              </w:rPr>
              <m:t>RSTD</m:t>
            </m:r>
          </m:e>
          <m:sub>
            <m:r>
              <w:rPr>
                <w:rFonts w:ascii="Cambria Math" w:hAnsi="Cambria Math"/>
              </w:rPr>
              <m:t>2,ref,s</m:t>
            </m:r>
          </m:sub>
        </m:sSub>
      </m:oMath>
      <w:r w:rsidRPr="001E410F">
        <w:rPr>
          <w:rFonts w:eastAsiaTheme="minorEastAsia"/>
          <w:lang w:val="en-US"/>
        </w:rPr>
        <w:t xml:space="preserve"> can have </w:t>
      </w:r>
      <w:r>
        <w:rPr>
          <w:rFonts w:eastAsiaTheme="minorEastAsia"/>
          <w:lang w:val="en-US"/>
        </w:rPr>
        <w:t>higher accuracy</w:t>
      </w:r>
      <w:r w:rsidRPr="001E410F">
        <w:rPr>
          <w:rFonts w:eastAsiaTheme="minorEastAsia"/>
          <w:lang w:val="en-US"/>
        </w:rPr>
        <w:t xml:space="preserve"> requirement.</w:t>
      </w:r>
    </w:p>
    <w:p w14:paraId="43A33779" w14:textId="6C05A693" w:rsidR="00064CDC" w:rsidRDefault="00064CDC" w:rsidP="00232D88">
      <w:pPr>
        <w:rPr>
          <w:lang w:val="en-US"/>
        </w:rPr>
      </w:pPr>
      <w:r w:rsidRPr="001E410F">
        <w:rPr>
          <w:b/>
          <w:bCs/>
          <w:u w:val="single"/>
          <w:lang w:val="en-US"/>
        </w:rPr>
        <w:t>Proposal #1</w:t>
      </w:r>
      <w:r w:rsidRPr="001E410F">
        <w:rPr>
          <w:lang w:val="en-US"/>
        </w:rPr>
        <w:t>: Introduce measurement accuracy requirements for RSTD measurements for which UE Rx TEG association is same for both target and reference TRPs.</w:t>
      </w:r>
    </w:p>
    <w:p w14:paraId="644FFFBE" w14:textId="7452FA7D" w:rsidR="00D27676" w:rsidRPr="00D27676" w:rsidRDefault="00D27676" w:rsidP="00D27676">
      <w:pPr>
        <w:pStyle w:val="IvDInstructiontext"/>
        <w:rPr>
          <w:rStyle w:val="IvDbodytextChar"/>
          <w:rFonts w:ascii="Times New Roman" w:hAnsi="Times New Roman"/>
          <w:b/>
          <w:bCs/>
          <w:i w:val="0"/>
          <w:color w:val="auto"/>
          <w:sz w:val="20"/>
          <w:szCs w:val="20"/>
          <w:u w:val="single"/>
        </w:rPr>
      </w:pPr>
      <w:r>
        <w:rPr>
          <w:rStyle w:val="IvDbodytextChar"/>
          <w:rFonts w:ascii="Times New Roman" w:hAnsi="Times New Roman"/>
          <w:b/>
          <w:bCs/>
          <w:i w:val="0"/>
          <w:color w:val="auto"/>
          <w:sz w:val="20"/>
          <w:szCs w:val="20"/>
          <w:u w:val="single"/>
        </w:rPr>
        <w:t xml:space="preserve"># </w:t>
      </w:r>
      <w:r w:rsidRPr="00D27676">
        <w:rPr>
          <w:rStyle w:val="IvDbodytextChar"/>
          <w:rFonts w:ascii="Times New Roman" w:hAnsi="Times New Roman"/>
          <w:b/>
          <w:bCs/>
          <w:i w:val="0"/>
          <w:color w:val="auto"/>
          <w:sz w:val="20"/>
          <w:szCs w:val="20"/>
          <w:u w:val="single"/>
        </w:rPr>
        <w:t>Case III: UE measures PRS from reference TRP from Rx TEG1 and TRP2 from Rx TEG2</w:t>
      </w:r>
    </w:p>
    <w:p w14:paraId="6C13146E" w14:textId="77777777" w:rsidR="00D27676" w:rsidRPr="00D27676" w:rsidRDefault="00D27676" w:rsidP="00D27676">
      <w:pPr>
        <w:pStyle w:val="IvDInstructiontext"/>
        <w:rPr>
          <w:rStyle w:val="IvDbodytextChar"/>
          <w:rFonts w:ascii="Times New Roman" w:hAnsi="Times New Roman"/>
          <w:i w:val="0"/>
          <w:color w:val="auto"/>
          <w:sz w:val="20"/>
          <w:szCs w:val="20"/>
        </w:rPr>
      </w:pPr>
      <w:r w:rsidRPr="00D27676">
        <w:rPr>
          <w:rStyle w:val="IvDbodytextChar"/>
          <w:rFonts w:ascii="Times New Roman" w:hAnsi="Times New Roman"/>
          <w:i w:val="0"/>
          <w:color w:val="auto"/>
          <w:sz w:val="20"/>
          <w:szCs w:val="20"/>
        </w:rPr>
        <w:t>RSTD measurement between reference TRP and TRP2 in this case takes the form:</w:t>
      </w:r>
    </w:p>
    <w:p w14:paraId="3303BC31" w14:textId="77777777" w:rsidR="00D27676" w:rsidRPr="00D27676" w:rsidRDefault="00F33FF0" w:rsidP="00D27676">
      <w:pPr>
        <w:pStyle w:val="IvDInstructiontext"/>
        <w:rPr>
          <w:rFonts w:ascii="Times New Roman" w:hAnsi="Times New Roman"/>
          <w:i w:val="0"/>
          <w:iCs/>
          <w:color w:val="auto"/>
          <w:sz w:val="20"/>
          <w:szCs w:val="20"/>
        </w:rPr>
      </w:pPr>
      <m:oMathPara>
        <m:oMathParaPr>
          <m:jc m:val="left"/>
        </m:oMathParaPr>
        <m:oMath>
          <m:sSub>
            <m:sSubPr>
              <m:ctrlPr>
                <w:rPr>
                  <w:rFonts w:ascii="Cambria Math" w:hAnsi="Cambria Math"/>
                  <w:i w:val="0"/>
                  <w:iCs/>
                  <w:color w:val="auto"/>
                  <w:sz w:val="20"/>
                  <w:szCs w:val="20"/>
                </w:rPr>
              </m:ctrlPr>
            </m:sSubPr>
            <m:e>
              <m:r>
                <w:rPr>
                  <w:rFonts w:ascii="Cambria Math" w:hAnsi="Cambria Math"/>
                  <w:color w:val="auto"/>
                  <w:sz w:val="20"/>
                  <w:szCs w:val="20"/>
                </w:rPr>
                <m:t>RSTD</m:t>
              </m:r>
            </m:e>
            <m:sub>
              <m:r>
                <w:rPr>
                  <w:rFonts w:ascii="Cambria Math" w:hAnsi="Cambria Math"/>
                  <w:color w:val="auto"/>
                  <w:sz w:val="20"/>
                  <w:szCs w:val="20"/>
                  <w:lang w:val="sv-SE"/>
                </w:rPr>
                <m:t>2</m:t>
              </m:r>
              <m:r>
                <w:rPr>
                  <w:rFonts w:ascii="Cambria Math" w:hAnsi="Cambria Math"/>
                  <w:color w:val="auto"/>
                  <w:sz w:val="20"/>
                  <w:szCs w:val="20"/>
                </w:rPr>
                <m:t>,ref</m:t>
              </m:r>
              <m:r>
                <w:rPr>
                  <w:rFonts w:ascii="Cambria Math" w:hAnsi="Cambria Math"/>
                  <w:color w:val="auto"/>
                  <w:sz w:val="20"/>
                  <w:szCs w:val="20"/>
                  <w:lang w:val="sv-SE"/>
                </w:rPr>
                <m:t>,d</m:t>
              </m:r>
            </m:sub>
          </m:sSub>
          <m:r>
            <w:rPr>
              <w:rFonts w:ascii="Cambria Math" w:hAnsi="Cambria Math"/>
              <w:color w:val="auto"/>
              <w:sz w:val="20"/>
              <w:szCs w:val="20"/>
            </w:rPr>
            <m:t>=</m:t>
          </m:r>
          <m:f>
            <m:fPr>
              <m:type m:val="lin"/>
              <m:ctrlPr>
                <w:rPr>
                  <w:rFonts w:ascii="Cambria Math" w:hAnsi="Cambria Math"/>
                  <w:i w:val="0"/>
                  <w:iCs/>
                  <w:color w:val="auto"/>
                  <w:sz w:val="20"/>
                  <w:szCs w:val="20"/>
                </w:rPr>
              </m:ctrlPr>
            </m:fPr>
            <m:num>
              <m:d>
                <m:dPr>
                  <m:ctrlPr>
                    <w:rPr>
                      <w:rFonts w:ascii="Cambria Math" w:hAnsi="Cambria Math"/>
                      <w:i w:val="0"/>
                      <w:iCs/>
                      <w:color w:val="auto"/>
                      <w:sz w:val="20"/>
                      <w:szCs w:val="20"/>
                    </w:rPr>
                  </m:ctrlPr>
                </m:dPr>
                <m:e>
                  <m:sSub>
                    <m:sSubPr>
                      <m:ctrlPr>
                        <w:rPr>
                          <w:rFonts w:ascii="Cambria Math" w:hAnsi="Cambria Math"/>
                          <w:i w:val="0"/>
                          <w:iCs/>
                          <w:color w:val="auto"/>
                          <w:sz w:val="20"/>
                          <w:szCs w:val="20"/>
                        </w:rPr>
                      </m:ctrlPr>
                    </m:sSubPr>
                    <m:e>
                      <m:r>
                        <w:rPr>
                          <w:rFonts w:ascii="Cambria Math" w:hAnsi="Cambria Math"/>
                          <w:color w:val="auto"/>
                          <w:sz w:val="20"/>
                          <w:szCs w:val="20"/>
                        </w:rPr>
                        <m:t>d</m:t>
                      </m:r>
                    </m:e>
                    <m:sub>
                      <m:r>
                        <w:rPr>
                          <w:rFonts w:ascii="Cambria Math" w:hAnsi="Cambria Math"/>
                          <w:color w:val="auto"/>
                          <w:sz w:val="20"/>
                          <w:szCs w:val="20"/>
                        </w:rPr>
                        <m:t>2</m:t>
                      </m:r>
                    </m:sub>
                  </m:sSub>
                  <m:r>
                    <w:rPr>
                      <w:rFonts w:ascii="Cambria Math" w:hAnsi="Cambria Math"/>
                      <w:color w:val="auto"/>
                      <w:sz w:val="20"/>
                      <w:szCs w:val="20"/>
                    </w:rPr>
                    <m:t>-</m:t>
                  </m:r>
                  <m:sSub>
                    <m:sSubPr>
                      <m:ctrlPr>
                        <w:rPr>
                          <w:rFonts w:ascii="Cambria Math" w:hAnsi="Cambria Math"/>
                          <w:i w:val="0"/>
                          <w:iCs/>
                          <w:color w:val="auto"/>
                          <w:sz w:val="20"/>
                          <w:szCs w:val="20"/>
                        </w:rPr>
                      </m:ctrlPr>
                    </m:sSubPr>
                    <m:e>
                      <m:r>
                        <w:rPr>
                          <w:rFonts w:ascii="Cambria Math" w:hAnsi="Cambria Math"/>
                          <w:color w:val="auto"/>
                          <w:sz w:val="20"/>
                          <w:szCs w:val="20"/>
                        </w:rPr>
                        <m:t>d</m:t>
                      </m:r>
                    </m:e>
                    <m:sub>
                      <m:r>
                        <w:rPr>
                          <w:rFonts w:ascii="Cambria Math" w:hAnsi="Cambria Math"/>
                          <w:color w:val="auto"/>
                          <w:sz w:val="20"/>
                          <w:szCs w:val="20"/>
                        </w:rPr>
                        <m:t>ref</m:t>
                      </m:r>
                    </m:sub>
                  </m:sSub>
                </m:e>
              </m:d>
            </m:num>
            <m:den>
              <m:r>
                <w:rPr>
                  <w:rFonts w:ascii="Cambria Math" w:hAnsi="Cambria Math"/>
                  <w:color w:val="auto"/>
                  <w:sz w:val="20"/>
                  <w:szCs w:val="20"/>
                </w:rPr>
                <m:t>c</m:t>
              </m:r>
            </m:den>
          </m:f>
          <m:r>
            <w:rPr>
              <w:rFonts w:ascii="Cambria Math" w:hAnsi="Cambria Math"/>
              <w:color w:val="auto"/>
              <w:sz w:val="20"/>
              <w:szCs w:val="20"/>
            </w:rPr>
            <m:t>+</m:t>
          </m:r>
          <m:sSub>
            <m:sSubPr>
              <m:ctrlPr>
                <w:rPr>
                  <w:rFonts w:ascii="Cambria Math" w:hAnsi="Cambria Math"/>
                  <w:i w:val="0"/>
                  <w:iCs/>
                  <w:color w:val="auto"/>
                  <w:sz w:val="20"/>
                  <w:szCs w:val="20"/>
                </w:rPr>
              </m:ctrlPr>
            </m:sSubPr>
            <m:e>
              <m:r>
                <w:rPr>
                  <w:rFonts w:ascii="Cambria Math" w:hAnsi="Cambria Math"/>
                  <w:color w:val="auto"/>
                  <w:sz w:val="20"/>
                  <w:szCs w:val="20"/>
                </w:rPr>
                <m:t>τ</m:t>
              </m:r>
            </m:e>
            <m:sub>
              <m:r>
                <w:rPr>
                  <w:rFonts w:ascii="Cambria Math" w:hAnsi="Cambria Math"/>
                  <w:color w:val="auto"/>
                  <w:sz w:val="20"/>
                  <w:szCs w:val="20"/>
                </w:rPr>
                <m:t>RX,2</m:t>
              </m:r>
            </m:sub>
          </m:sSub>
          <m:r>
            <w:rPr>
              <w:rFonts w:ascii="Cambria Math" w:hAnsi="Cambria Math"/>
              <w:color w:val="auto"/>
              <w:sz w:val="20"/>
              <w:szCs w:val="20"/>
            </w:rPr>
            <m:t>-</m:t>
          </m:r>
          <m:sSub>
            <m:sSubPr>
              <m:ctrlPr>
                <w:rPr>
                  <w:rFonts w:ascii="Cambria Math" w:hAnsi="Cambria Math"/>
                  <w:i w:val="0"/>
                  <w:iCs/>
                  <w:color w:val="auto"/>
                  <w:sz w:val="20"/>
                  <w:szCs w:val="20"/>
                </w:rPr>
              </m:ctrlPr>
            </m:sSubPr>
            <m:e>
              <m:r>
                <w:rPr>
                  <w:rFonts w:ascii="Cambria Math" w:hAnsi="Cambria Math"/>
                  <w:color w:val="auto"/>
                  <w:sz w:val="20"/>
                  <w:szCs w:val="20"/>
                </w:rPr>
                <m:t>τ</m:t>
              </m:r>
            </m:e>
            <m:sub>
              <m:r>
                <w:rPr>
                  <w:rFonts w:ascii="Cambria Math" w:hAnsi="Cambria Math"/>
                  <w:color w:val="auto"/>
                  <w:sz w:val="20"/>
                  <w:szCs w:val="20"/>
                </w:rPr>
                <m:t>RX,1</m:t>
              </m:r>
            </m:sub>
          </m:sSub>
          <m:r>
            <w:rPr>
              <w:rFonts w:ascii="Cambria Math" w:hAnsi="Cambria Math"/>
              <w:color w:val="auto"/>
              <w:sz w:val="20"/>
              <w:szCs w:val="20"/>
            </w:rPr>
            <m:t>,</m:t>
          </m:r>
        </m:oMath>
      </m:oMathPara>
    </w:p>
    <w:p w14:paraId="056D4364" w14:textId="529C3474" w:rsidR="00D27676" w:rsidRPr="00D27676" w:rsidRDefault="00D27676" w:rsidP="00D27676">
      <w:pPr>
        <w:rPr>
          <w:rStyle w:val="IvDbodytextChar"/>
          <w:rFonts w:ascii="Times New Roman" w:eastAsia="SimSun" w:hAnsi="Times New Roman"/>
          <w:i/>
        </w:rPr>
      </w:pPr>
      <w:r w:rsidRPr="00D27676">
        <w:rPr>
          <w:iCs/>
        </w:rPr>
        <w:lastRenderedPageBreak/>
        <w:t xml:space="preserve">where </w:t>
      </w:r>
      <m:oMath>
        <m:sSub>
          <m:sSubPr>
            <m:ctrlPr>
              <w:rPr>
                <w:rFonts w:ascii="Cambria Math" w:hAnsi="Cambria Math"/>
                <w:i/>
                <w:iCs/>
              </w:rPr>
            </m:ctrlPr>
          </m:sSubPr>
          <m:e>
            <m:r>
              <w:rPr>
                <w:rFonts w:ascii="Cambria Math" w:hAnsi="Cambria Math"/>
              </w:rPr>
              <m:t>τ</m:t>
            </m:r>
          </m:e>
          <m:sub>
            <m:r>
              <w:rPr>
                <w:rFonts w:ascii="Cambria Math" w:hAnsi="Cambria Math"/>
              </w:rPr>
              <m:t>RX,1</m:t>
            </m:r>
          </m:sub>
        </m:sSub>
      </m:oMath>
      <w:r w:rsidRPr="00D27676">
        <w:rPr>
          <w:rFonts w:eastAsiaTheme="minorEastAsia"/>
          <w:iCs/>
        </w:rPr>
        <w:t xml:space="preserve"> and </w:t>
      </w:r>
      <m:oMath>
        <m:sSub>
          <m:sSubPr>
            <m:ctrlPr>
              <w:rPr>
                <w:rFonts w:ascii="Cambria Math" w:hAnsi="Cambria Math"/>
                <w:i/>
                <w:iCs/>
              </w:rPr>
            </m:ctrlPr>
          </m:sSubPr>
          <m:e>
            <m:r>
              <w:rPr>
                <w:rFonts w:ascii="Cambria Math" w:hAnsi="Cambria Math"/>
              </w:rPr>
              <m:t>τ</m:t>
            </m:r>
          </m:e>
          <m:sub>
            <m:r>
              <w:rPr>
                <w:rFonts w:ascii="Cambria Math" w:hAnsi="Cambria Math"/>
              </w:rPr>
              <m:t>RX,2</m:t>
            </m:r>
          </m:sub>
        </m:sSub>
      </m:oMath>
      <w:r w:rsidRPr="00D27676">
        <w:rPr>
          <w:rFonts w:eastAsiaTheme="minorEastAsia"/>
          <w:iCs/>
        </w:rPr>
        <w:t xml:space="preserve"> are respectively the timing errors for antenna panels (and UE Rx TEG) </w:t>
      </w:r>
      <m:oMath>
        <m:r>
          <w:rPr>
            <w:rFonts w:ascii="Cambria Math" w:eastAsiaTheme="minorEastAsia" w:hAnsi="Cambria Math"/>
          </w:rPr>
          <m:t>1</m:t>
        </m:r>
      </m:oMath>
      <w:r w:rsidRPr="00D27676">
        <w:rPr>
          <w:rFonts w:eastAsiaTheme="minorEastAsia"/>
          <w:iCs/>
        </w:rPr>
        <w:t xml:space="preserve"> and </w:t>
      </w:r>
      <m:oMath>
        <m:r>
          <w:rPr>
            <w:rFonts w:ascii="Cambria Math" w:eastAsiaTheme="minorEastAsia" w:hAnsi="Cambria Math"/>
          </w:rPr>
          <m:t>2</m:t>
        </m:r>
      </m:oMath>
      <w:r w:rsidRPr="00D27676">
        <w:rPr>
          <w:rFonts w:eastAsiaTheme="minorEastAsia"/>
          <w:iCs/>
        </w:rPr>
        <w:t xml:space="preserve">, respectively. In this case, reference TRP is measured from Rx </w:t>
      </w:r>
      <w:proofErr w:type="gramStart"/>
      <w:r w:rsidRPr="00D27676">
        <w:rPr>
          <w:rFonts w:eastAsiaTheme="minorEastAsia"/>
          <w:iCs/>
        </w:rPr>
        <w:t>TEG1</w:t>
      </w:r>
      <w:proofErr w:type="gramEnd"/>
      <w:r w:rsidRPr="00D27676">
        <w:rPr>
          <w:rFonts w:eastAsiaTheme="minorEastAsia"/>
          <w:iCs/>
        </w:rPr>
        <w:t xml:space="preserve"> and the measurement is within margin TEM1. TRP2 is measured from Rx </w:t>
      </w:r>
      <w:proofErr w:type="gramStart"/>
      <w:r w:rsidRPr="00D27676">
        <w:rPr>
          <w:rFonts w:eastAsiaTheme="minorEastAsia"/>
          <w:iCs/>
        </w:rPr>
        <w:t>TEG2</w:t>
      </w:r>
      <w:proofErr w:type="gramEnd"/>
      <w:r w:rsidRPr="00D27676">
        <w:rPr>
          <w:rFonts w:eastAsiaTheme="minorEastAsia"/>
          <w:iCs/>
        </w:rPr>
        <w:t xml:space="preserve"> a</w:t>
      </w:r>
      <w:proofErr w:type="spellStart"/>
      <w:r w:rsidRPr="00D27676">
        <w:rPr>
          <w:rFonts w:eastAsiaTheme="minorEastAsia"/>
          <w:iCs/>
        </w:rPr>
        <w:t>nd</w:t>
      </w:r>
      <w:proofErr w:type="spellEnd"/>
      <w:r w:rsidRPr="00D27676">
        <w:rPr>
          <w:rFonts w:eastAsiaTheme="minorEastAsia"/>
          <w:iCs/>
        </w:rPr>
        <w:t xml:space="preserve"> the measurement is within margin TEM2. Margins TEM1 and TEM2 may follow one of the following conditions: TEM1&gt;TEM2, TEM1&lt;TEM2, TEM1&gt;&gt;TEM2,</w:t>
      </w:r>
      <w:r w:rsidR="00232D88">
        <w:rPr>
          <w:rFonts w:eastAsiaTheme="minorEastAsia"/>
          <w:iCs/>
        </w:rPr>
        <w:t xml:space="preserve"> </w:t>
      </w:r>
      <w:r w:rsidRPr="00D27676">
        <w:rPr>
          <w:rFonts w:eastAsiaTheme="minorEastAsia"/>
          <w:iCs/>
        </w:rPr>
        <w:t>TEM1&lt;&lt;TEM2.</w:t>
      </w:r>
    </w:p>
    <w:p w14:paraId="4BBF0574" w14:textId="2E6084C6" w:rsidR="00D27676" w:rsidRPr="00D27676" w:rsidRDefault="00D27676" w:rsidP="00D27676">
      <w:pPr>
        <w:pStyle w:val="IvDInstructiontext"/>
        <w:rPr>
          <w:rStyle w:val="IvDbodytextChar"/>
          <w:rFonts w:ascii="Times New Roman" w:hAnsi="Times New Roman"/>
          <w:b/>
          <w:bCs/>
          <w:i w:val="0"/>
          <w:color w:val="auto"/>
          <w:sz w:val="20"/>
          <w:szCs w:val="20"/>
          <w:u w:val="single"/>
        </w:rPr>
      </w:pPr>
      <w:r>
        <w:rPr>
          <w:rStyle w:val="IvDbodytextChar"/>
          <w:rFonts w:ascii="Times New Roman" w:hAnsi="Times New Roman"/>
          <w:b/>
          <w:bCs/>
          <w:i w:val="0"/>
          <w:color w:val="auto"/>
          <w:sz w:val="20"/>
          <w:szCs w:val="20"/>
          <w:u w:val="single"/>
        </w:rPr>
        <w:t xml:space="preserve"># </w:t>
      </w:r>
      <w:r w:rsidRPr="00D27676">
        <w:rPr>
          <w:rStyle w:val="IvDbodytextChar"/>
          <w:rFonts w:ascii="Times New Roman" w:hAnsi="Times New Roman"/>
          <w:b/>
          <w:bCs/>
          <w:i w:val="0"/>
          <w:color w:val="auto"/>
          <w:sz w:val="20"/>
          <w:szCs w:val="20"/>
          <w:u w:val="single"/>
        </w:rPr>
        <w:t>Case IV: UE measures PRS from reference TRP from Rx TEG1 and TRP3 from Rx TEG2</w:t>
      </w:r>
    </w:p>
    <w:p w14:paraId="7A4120D5" w14:textId="77777777" w:rsidR="00D27676" w:rsidRPr="00D27676" w:rsidRDefault="00D27676" w:rsidP="00D27676">
      <w:pPr>
        <w:pStyle w:val="IvDInstructiontext"/>
        <w:rPr>
          <w:rStyle w:val="IvDbodytextChar"/>
          <w:rFonts w:ascii="Times New Roman" w:hAnsi="Times New Roman"/>
          <w:i w:val="0"/>
          <w:color w:val="auto"/>
          <w:sz w:val="20"/>
          <w:szCs w:val="20"/>
        </w:rPr>
      </w:pPr>
      <w:r w:rsidRPr="00D27676">
        <w:rPr>
          <w:rStyle w:val="IvDbodytextChar"/>
          <w:rFonts w:ascii="Times New Roman" w:hAnsi="Times New Roman"/>
          <w:i w:val="0"/>
          <w:color w:val="auto"/>
          <w:sz w:val="20"/>
          <w:szCs w:val="20"/>
        </w:rPr>
        <w:t>RSTD measurement between reference TRP and TRP3 in this case takes the form:</w:t>
      </w:r>
    </w:p>
    <w:p w14:paraId="2F958896" w14:textId="77777777" w:rsidR="00D27676" w:rsidRPr="00D27676" w:rsidRDefault="00F33FF0" w:rsidP="00D27676">
      <w:pPr>
        <w:pStyle w:val="IvDInstructiontext"/>
        <w:rPr>
          <w:rFonts w:ascii="Times New Roman" w:hAnsi="Times New Roman"/>
          <w:i w:val="0"/>
          <w:iCs/>
          <w:color w:val="auto"/>
          <w:sz w:val="20"/>
          <w:szCs w:val="20"/>
        </w:rPr>
      </w:pPr>
      <m:oMath>
        <m:sSub>
          <m:sSubPr>
            <m:ctrlPr>
              <w:rPr>
                <w:rFonts w:ascii="Cambria Math" w:hAnsi="Cambria Math"/>
                <w:i w:val="0"/>
                <w:iCs/>
                <w:color w:val="auto"/>
                <w:sz w:val="20"/>
                <w:szCs w:val="20"/>
              </w:rPr>
            </m:ctrlPr>
          </m:sSubPr>
          <m:e>
            <m:r>
              <w:rPr>
                <w:rFonts w:ascii="Cambria Math" w:hAnsi="Cambria Math"/>
                <w:color w:val="auto"/>
                <w:sz w:val="20"/>
                <w:szCs w:val="20"/>
              </w:rPr>
              <m:t>RSTD</m:t>
            </m:r>
          </m:e>
          <m:sub>
            <m:r>
              <w:rPr>
                <w:rFonts w:ascii="Cambria Math" w:hAnsi="Cambria Math"/>
                <w:color w:val="auto"/>
                <w:sz w:val="20"/>
                <w:szCs w:val="20"/>
              </w:rPr>
              <m:t>3, ref,d</m:t>
            </m:r>
          </m:sub>
        </m:sSub>
        <m:r>
          <w:rPr>
            <w:rFonts w:ascii="Cambria Math" w:hAnsi="Cambria Math"/>
            <w:color w:val="auto"/>
            <w:sz w:val="20"/>
            <w:szCs w:val="20"/>
          </w:rPr>
          <m:t>=</m:t>
        </m:r>
        <m:f>
          <m:fPr>
            <m:type m:val="lin"/>
            <m:ctrlPr>
              <w:rPr>
                <w:rFonts w:ascii="Cambria Math" w:hAnsi="Cambria Math"/>
                <w:i w:val="0"/>
                <w:iCs/>
                <w:color w:val="auto"/>
                <w:sz w:val="20"/>
                <w:szCs w:val="20"/>
              </w:rPr>
            </m:ctrlPr>
          </m:fPr>
          <m:num>
            <m:d>
              <m:dPr>
                <m:ctrlPr>
                  <w:rPr>
                    <w:rFonts w:ascii="Cambria Math" w:hAnsi="Cambria Math"/>
                    <w:i w:val="0"/>
                    <w:iCs/>
                    <w:color w:val="auto"/>
                    <w:sz w:val="20"/>
                    <w:szCs w:val="20"/>
                  </w:rPr>
                </m:ctrlPr>
              </m:dPr>
              <m:e>
                <m:sSub>
                  <m:sSubPr>
                    <m:ctrlPr>
                      <w:rPr>
                        <w:rFonts w:ascii="Cambria Math" w:hAnsi="Cambria Math"/>
                        <w:i w:val="0"/>
                        <w:iCs/>
                        <w:color w:val="auto"/>
                        <w:sz w:val="20"/>
                        <w:szCs w:val="20"/>
                      </w:rPr>
                    </m:ctrlPr>
                  </m:sSubPr>
                  <m:e>
                    <m:r>
                      <w:rPr>
                        <w:rFonts w:ascii="Cambria Math" w:hAnsi="Cambria Math"/>
                        <w:color w:val="auto"/>
                        <w:sz w:val="20"/>
                        <w:szCs w:val="20"/>
                      </w:rPr>
                      <m:t>d</m:t>
                    </m:r>
                  </m:e>
                  <m:sub>
                    <m:r>
                      <w:rPr>
                        <w:rFonts w:ascii="Cambria Math" w:hAnsi="Cambria Math"/>
                        <w:color w:val="auto"/>
                        <w:sz w:val="20"/>
                        <w:szCs w:val="20"/>
                      </w:rPr>
                      <m:t>3</m:t>
                    </m:r>
                  </m:sub>
                </m:sSub>
                <m:r>
                  <w:rPr>
                    <w:rFonts w:ascii="Cambria Math" w:hAnsi="Cambria Math"/>
                    <w:color w:val="auto"/>
                    <w:sz w:val="20"/>
                    <w:szCs w:val="20"/>
                  </w:rPr>
                  <m:t>-</m:t>
                </m:r>
                <m:sSub>
                  <m:sSubPr>
                    <m:ctrlPr>
                      <w:rPr>
                        <w:rFonts w:ascii="Cambria Math" w:hAnsi="Cambria Math"/>
                        <w:i w:val="0"/>
                        <w:iCs/>
                        <w:color w:val="auto"/>
                        <w:sz w:val="20"/>
                        <w:szCs w:val="20"/>
                      </w:rPr>
                    </m:ctrlPr>
                  </m:sSubPr>
                  <m:e>
                    <m:r>
                      <w:rPr>
                        <w:rFonts w:ascii="Cambria Math" w:hAnsi="Cambria Math"/>
                        <w:color w:val="auto"/>
                        <w:sz w:val="20"/>
                        <w:szCs w:val="20"/>
                      </w:rPr>
                      <m:t>d</m:t>
                    </m:r>
                  </m:e>
                  <m:sub>
                    <m:r>
                      <w:rPr>
                        <w:rFonts w:ascii="Cambria Math" w:hAnsi="Cambria Math"/>
                        <w:color w:val="auto"/>
                        <w:sz w:val="20"/>
                        <w:szCs w:val="20"/>
                      </w:rPr>
                      <m:t>ref</m:t>
                    </m:r>
                  </m:sub>
                </m:sSub>
              </m:e>
            </m:d>
          </m:num>
          <m:den>
            <m:r>
              <w:rPr>
                <w:rFonts w:ascii="Cambria Math" w:hAnsi="Cambria Math"/>
                <w:color w:val="auto"/>
                <w:sz w:val="20"/>
                <w:szCs w:val="20"/>
              </w:rPr>
              <m:t>c</m:t>
            </m:r>
          </m:den>
        </m:f>
        <m:r>
          <w:rPr>
            <w:rFonts w:ascii="Cambria Math" w:hAnsi="Cambria Math"/>
            <w:color w:val="auto"/>
            <w:sz w:val="20"/>
            <w:szCs w:val="20"/>
          </w:rPr>
          <m:t>+</m:t>
        </m:r>
        <m:sSub>
          <m:sSubPr>
            <m:ctrlPr>
              <w:rPr>
                <w:rFonts w:ascii="Cambria Math" w:hAnsi="Cambria Math"/>
                <w:i w:val="0"/>
                <w:iCs/>
                <w:color w:val="auto"/>
                <w:sz w:val="20"/>
                <w:szCs w:val="20"/>
              </w:rPr>
            </m:ctrlPr>
          </m:sSubPr>
          <m:e>
            <m:r>
              <w:rPr>
                <w:rFonts w:ascii="Cambria Math" w:hAnsi="Cambria Math"/>
                <w:color w:val="auto"/>
                <w:sz w:val="20"/>
                <w:szCs w:val="20"/>
              </w:rPr>
              <m:t>τ</m:t>
            </m:r>
          </m:e>
          <m:sub>
            <m:r>
              <w:rPr>
                <w:rFonts w:ascii="Cambria Math" w:hAnsi="Cambria Math"/>
                <w:color w:val="auto"/>
                <w:sz w:val="20"/>
                <w:szCs w:val="20"/>
              </w:rPr>
              <m:t>RX,2</m:t>
            </m:r>
          </m:sub>
        </m:sSub>
        <m:r>
          <w:rPr>
            <w:rFonts w:ascii="Cambria Math" w:hAnsi="Cambria Math"/>
            <w:color w:val="auto"/>
            <w:sz w:val="20"/>
            <w:szCs w:val="20"/>
          </w:rPr>
          <m:t>-</m:t>
        </m:r>
        <m:sSub>
          <m:sSubPr>
            <m:ctrlPr>
              <w:rPr>
                <w:rFonts w:ascii="Cambria Math" w:hAnsi="Cambria Math"/>
                <w:i w:val="0"/>
                <w:iCs/>
                <w:color w:val="auto"/>
                <w:sz w:val="20"/>
                <w:szCs w:val="20"/>
              </w:rPr>
            </m:ctrlPr>
          </m:sSubPr>
          <m:e>
            <m:r>
              <w:rPr>
                <w:rFonts w:ascii="Cambria Math" w:hAnsi="Cambria Math"/>
                <w:color w:val="auto"/>
                <w:sz w:val="20"/>
                <w:szCs w:val="20"/>
              </w:rPr>
              <m:t>τ</m:t>
            </m:r>
          </m:e>
          <m:sub>
            <m:r>
              <w:rPr>
                <w:rFonts w:ascii="Cambria Math" w:hAnsi="Cambria Math"/>
                <w:color w:val="auto"/>
                <w:sz w:val="20"/>
                <w:szCs w:val="20"/>
              </w:rPr>
              <m:t>RX,1</m:t>
            </m:r>
          </m:sub>
        </m:sSub>
      </m:oMath>
      <w:r w:rsidR="00D27676" w:rsidRPr="00D27676">
        <w:rPr>
          <w:rFonts w:ascii="Times New Roman" w:hAnsi="Times New Roman"/>
          <w:i w:val="0"/>
          <w:iCs/>
          <w:color w:val="auto"/>
          <w:sz w:val="20"/>
          <w:szCs w:val="20"/>
        </w:rPr>
        <w:t>.</w:t>
      </w:r>
    </w:p>
    <w:p w14:paraId="6E0C3ADE" w14:textId="610EFF65" w:rsidR="00D025E1" w:rsidRDefault="00D27676" w:rsidP="00D27676">
      <w:pPr>
        <w:pStyle w:val="IvDInstructiontext"/>
        <w:rPr>
          <w:rFonts w:ascii="Times New Roman" w:eastAsiaTheme="minorEastAsia" w:hAnsi="Times New Roman"/>
          <w:i w:val="0"/>
          <w:color w:val="auto"/>
          <w:sz w:val="20"/>
        </w:rPr>
      </w:pPr>
      <w:r w:rsidRPr="00D27676">
        <w:rPr>
          <w:rFonts w:ascii="Times New Roman" w:eastAsiaTheme="minorEastAsia" w:hAnsi="Times New Roman"/>
          <w:i w:val="0"/>
          <w:color w:val="auto"/>
          <w:sz w:val="20"/>
          <w:szCs w:val="20"/>
        </w:rPr>
        <w:t xml:space="preserve">In this case, reference TRP is measured from Rx </w:t>
      </w:r>
      <w:proofErr w:type="gramStart"/>
      <w:r w:rsidRPr="00D27676">
        <w:rPr>
          <w:rFonts w:ascii="Times New Roman" w:eastAsiaTheme="minorEastAsia" w:hAnsi="Times New Roman"/>
          <w:i w:val="0"/>
          <w:color w:val="auto"/>
          <w:sz w:val="20"/>
          <w:szCs w:val="20"/>
        </w:rPr>
        <w:t>TEG1</w:t>
      </w:r>
      <w:proofErr w:type="gramEnd"/>
      <w:r w:rsidRPr="00D27676">
        <w:rPr>
          <w:rFonts w:ascii="Times New Roman" w:eastAsiaTheme="minorEastAsia" w:hAnsi="Times New Roman"/>
          <w:i w:val="0"/>
          <w:color w:val="auto"/>
          <w:sz w:val="20"/>
          <w:szCs w:val="20"/>
        </w:rPr>
        <w:t xml:space="preserve"> and the measurement is within timing error margin TEM1. TRP3 is measured from Rx </w:t>
      </w:r>
      <w:proofErr w:type="gramStart"/>
      <w:r w:rsidRPr="00D27676">
        <w:rPr>
          <w:rFonts w:ascii="Times New Roman" w:eastAsiaTheme="minorEastAsia" w:hAnsi="Times New Roman"/>
          <w:i w:val="0"/>
          <w:color w:val="auto"/>
          <w:sz w:val="20"/>
          <w:szCs w:val="20"/>
        </w:rPr>
        <w:t>TEG2</w:t>
      </w:r>
      <w:proofErr w:type="gramEnd"/>
      <w:r w:rsidRPr="00D27676">
        <w:rPr>
          <w:rFonts w:ascii="Times New Roman" w:eastAsiaTheme="minorEastAsia" w:hAnsi="Times New Roman"/>
          <w:i w:val="0"/>
          <w:color w:val="auto"/>
          <w:sz w:val="20"/>
          <w:szCs w:val="20"/>
        </w:rPr>
        <w:t xml:space="preserve"> and the measurement is within margin TEM2. </w:t>
      </w:r>
      <w:r w:rsidRPr="00D27676">
        <w:rPr>
          <w:rFonts w:ascii="Times New Roman" w:eastAsiaTheme="minorEastAsia" w:hAnsi="Times New Roman"/>
          <w:i w:val="0"/>
          <w:color w:val="auto"/>
          <w:sz w:val="20"/>
        </w:rPr>
        <w:t>Margins TEM1 and TEM2 may follow one of the following conditions: TEM1&gt;TEM2, TEM1&lt;TEM2, TEM1&gt;&gt;TEM2, TEM1&lt;&lt;TEM2.</w:t>
      </w:r>
    </w:p>
    <w:p w14:paraId="6C797A1B" w14:textId="47D2610B" w:rsidR="00D27676" w:rsidRPr="00D27676" w:rsidRDefault="00D27676" w:rsidP="00D27676">
      <w:pPr>
        <w:pStyle w:val="IvDInstructiontext"/>
        <w:rPr>
          <w:rStyle w:val="IvDbodytextChar"/>
          <w:rFonts w:ascii="Times New Roman" w:hAnsi="Times New Roman"/>
          <w:b/>
          <w:bCs/>
          <w:i w:val="0"/>
          <w:color w:val="auto"/>
          <w:sz w:val="20"/>
          <w:szCs w:val="20"/>
          <w:u w:val="single"/>
        </w:rPr>
      </w:pPr>
      <w:r>
        <w:rPr>
          <w:rStyle w:val="IvDbodytextChar"/>
          <w:rFonts w:ascii="Times New Roman" w:hAnsi="Times New Roman"/>
          <w:b/>
          <w:bCs/>
          <w:i w:val="0"/>
          <w:color w:val="auto"/>
          <w:sz w:val="20"/>
          <w:szCs w:val="20"/>
          <w:u w:val="single"/>
        </w:rPr>
        <w:t xml:space="preserve"># </w:t>
      </w:r>
      <w:r w:rsidRPr="00D27676">
        <w:rPr>
          <w:rStyle w:val="IvDbodytextChar"/>
          <w:rFonts w:ascii="Times New Roman" w:hAnsi="Times New Roman"/>
          <w:b/>
          <w:bCs/>
          <w:i w:val="0"/>
          <w:color w:val="auto"/>
          <w:sz w:val="20"/>
          <w:szCs w:val="20"/>
          <w:u w:val="single"/>
        </w:rPr>
        <w:t>Case V: Differential RSTD: same Rx TEG</w:t>
      </w:r>
    </w:p>
    <w:p w14:paraId="0B4E3F4B" w14:textId="77777777" w:rsidR="00D27676" w:rsidRPr="00D27676" w:rsidRDefault="00D27676" w:rsidP="00D27676">
      <w:pPr>
        <w:pStyle w:val="IvDInstructiontext"/>
        <w:rPr>
          <w:rStyle w:val="IvDbodytextChar"/>
          <w:rFonts w:ascii="Times New Roman" w:hAnsi="Times New Roman"/>
          <w:i w:val="0"/>
          <w:color w:val="auto"/>
          <w:sz w:val="20"/>
          <w:szCs w:val="20"/>
        </w:rPr>
      </w:pPr>
      <w:r w:rsidRPr="00D27676">
        <w:rPr>
          <w:rStyle w:val="IvDbodytextChar"/>
          <w:rFonts w:ascii="Times New Roman" w:hAnsi="Times New Roman"/>
          <w:i w:val="0"/>
          <w:color w:val="auto"/>
          <w:sz w:val="20"/>
          <w:szCs w:val="20"/>
        </w:rPr>
        <w:t xml:space="preserve">Differential RSTD is calculated as difference between two RSTD measurements where each RSTD measurement is done by single Rx TEG. The differential RSTD in this case takes the form: </w:t>
      </w:r>
    </w:p>
    <w:p w14:paraId="53DEDFDC" w14:textId="1768A8C0" w:rsidR="00D27676" w:rsidRPr="00B269F3" w:rsidRDefault="00F33FF0" w:rsidP="00D27676">
      <w:pPr>
        <w:pStyle w:val="IvDInstructiontext"/>
        <w:rPr>
          <w:rFonts w:ascii="Times New Roman" w:hAnsi="Times New Roman"/>
          <w:i w:val="0"/>
          <w:color w:val="auto"/>
          <w:sz w:val="20"/>
          <w:szCs w:val="20"/>
        </w:rPr>
      </w:pPr>
      <m:oMathPara>
        <m:oMathParaPr>
          <m:jc m:val="left"/>
        </m:oMathParaPr>
        <m:oMath>
          <m:sSub>
            <m:sSubPr>
              <m:ctrlPr>
                <w:rPr>
                  <w:rFonts w:ascii="Cambria Math" w:hAnsi="Cambria Math"/>
                  <w:i w:val="0"/>
                  <w:iCs/>
                  <w:color w:val="auto"/>
                  <w:sz w:val="20"/>
                  <w:szCs w:val="20"/>
                </w:rPr>
              </m:ctrlPr>
            </m:sSubPr>
            <m:e>
              <m:r>
                <w:rPr>
                  <w:rFonts w:ascii="Cambria Math" w:hAnsi="Cambria Math"/>
                  <w:color w:val="auto"/>
                  <w:sz w:val="20"/>
                  <w:szCs w:val="20"/>
                </w:rPr>
                <m:t>DIFF</m:t>
              </m:r>
            </m:e>
            <m:sub>
              <m:r>
                <w:rPr>
                  <w:rFonts w:ascii="Cambria Math" w:hAnsi="Cambria Math"/>
                  <w:color w:val="auto"/>
                  <w:sz w:val="20"/>
                  <w:szCs w:val="20"/>
                  <w:lang w:val="sv-SE"/>
                </w:rPr>
                <m:t>RSTD,s</m:t>
              </m:r>
            </m:sub>
          </m:sSub>
          <m:r>
            <w:rPr>
              <w:rFonts w:ascii="Cambria Math" w:hAnsi="Cambria Math"/>
              <w:color w:val="auto"/>
              <w:sz w:val="20"/>
              <w:szCs w:val="20"/>
            </w:rPr>
            <m:t>=</m:t>
          </m:r>
          <m:sSub>
            <m:sSubPr>
              <m:ctrlPr>
                <w:rPr>
                  <w:rFonts w:ascii="Cambria Math" w:hAnsi="Cambria Math"/>
                  <w:i w:val="0"/>
                  <w:iCs/>
                  <w:color w:val="auto"/>
                  <w:sz w:val="20"/>
                  <w:szCs w:val="20"/>
                </w:rPr>
              </m:ctrlPr>
            </m:sSubPr>
            <m:e>
              <m:r>
                <w:rPr>
                  <w:rFonts w:ascii="Cambria Math" w:hAnsi="Cambria Math"/>
                  <w:color w:val="auto"/>
                  <w:sz w:val="20"/>
                  <w:szCs w:val="20"/>
                </w:rPr>
                <m:t>RSTD</m:t>
              </m:r>
            </m:e>
            <m:sub>
              <m:r>
                <w:rPr>
                  <w:rFonts w:ascii="Cambria Math" w:hAnsi="Cambria Math"/>
                  <w:color w:val="auto"/>
                  <w:sz w:val="20"/>
                  <w:szCs w:val="20"/>
                  <w:lang w:val="sv-SE"/>
                </w:rPr>
                <m:t>2,ref,s</m:t>
              </m:r>
            </m:sub>
          </m:sSub>
          <m:r>
            <w:rPr>
              <w:rFonts w:ascii="Cambria Math" w:hAnsi="Cambria Math"/>
              <w:color w:val="auto"/>
              <w:sz w:val="20"/>
              <w:szCs w:val="20"/>
            </w:rPr>
            <m:t>-</m:t>
          </m:r>
          <m:sSub>
            <m:sSubPr>
              <m:ctrlPr>
                <w:rPr>
                  <w:rFonts w:ascii="Cambria Math" w:hAnsi="Cambria Math"/>
                  <w:i w:val="0"/>
                  <w:iCs/>
                  <w:color w:val="auto"/>
                  <w:sz w:val="20"/>
                  <w:szCs w:val="20"/>
                </w:rPr>
              </m:ctrlPr>
            </m:sSubPr>
            <m:e>
              <m:r>
                <w:rPr>
                  <w:rFonts w:ascii="Cambria Math" w:hAnsi="Cambria Math"/>
                  <w:color w:val="auto"/>
                  <w:sz w:val="20"/>
                  <w:szCs w:val="20"/>
                </w:rPr>
                <m:t>RSTD</m:t>
              </m:r>
            </m:e>
            <m:sub>
              <m:r>
                <w:rPr>
                  <w:rFonts w:ascii="Cambria Math" w:hAnsi="Cambria Math"/>
                  <w:color w:val="auto"/>
                  <w:sz w:val="20"/>
                  <w:szCs w:val="20"/>
                  <w:lang w:val="sv-SE"/>
                </w:rPr>
                <m:t>1,ref,s</m:t>
              </m:r>
            </m:sub>
          </m:sSub>
          <m:r>
            <w:rPr>
              <w:rFonts w:ascii="Cambria Math" w:hAnsi="Cambria Math"/>
              <w:color w:val="auto"/>
              <w:sz w:val="20"/>
              <w:szCs w:val="20"/>
            </w:rPr>
            <m:t>=</m:t>
          </m:r>
          <m:f>
            <m:fPr>
              <m:type m:val="lin"/>
              <m:ctrlPr>
                <w:rPr>
                  <w:rFonts w:ascii="Cambria Math" w:hAnsi="Cambria Math"/>
                  <w:i w:val="0"/>
                  <w:iCs/>
                  <w:color w:val="auto"/>
                  <w:sz w:val="20"/>
                  <w:szCs w:val="20"/>
                </w:rPr>
              </m:ctrlPr>
            </m:fPr>
            <m:num>
              <m:d>
                <m:dPr>
                  <m:ctrlPr>
                    <w:rPr>
                      <w:rFonts w:ascii="Cambria Math" w:hAnsi="Cambria Math"/>
                      <w:i w:val="0"/>
                      <w:iCs/>
                      <w:color w:val="auto"/>
                      <w:sz w:val="20"/>
                      <w:szCs w:val="20"/>
                    </w:rPr>
                  </m:ctrlPr>
                </m:dPr>
                <m:e>
                  <m:sSub>
                    <m:sSubPr>
                      <m:ctrlPr>
                        <w:rPr>
                          <w:rFonts w:ascii="Cambria Math" w:hAnsi="Cambria Math"/>
                          <w:i w:val="0"/>
                          <w:iCs/>
                          <w:color w:val="auto"/>
                          <w:sz w:val="20"/>
                          <w:szCs w:val="20"/>
                        </w:rPr>
                      </m:ctrlPr>
                    </m:sSubPr>
                    <m:e>
                      <m:r>
                        <w:rPr>
                          <w:rFonts w:ascii="Cambria Math" w:hAnsi="Cambria Math"/>
                          <w:color w:val="auto"/>
                          <w:sz w:val="20"/>
                          <w:szCs w:val="20"/>
                        </w:rPr>
                        <m:t>d</m:t>
                      </m:r>
                    </m:e>
                    <m:sub>
                      <m:r>
                        <w:rPr>
                          <w:rFonts w:ascii="Cambria Math" w:hAnsi="Cambria Math"/>
                          <w:color w:val="auto"/>
                          <w:sz w:val="20"/>
                          <w:szCs w:val="20"/>
                          <w:lang w:val="sv-SE"/>
                        </w:rPr>
                        <m:t>2</m:t>
                      </m:r>
                    </m:sub>
                  </m:sSub>
                  <m:r>
                    <w:rPr>
                      <w:rFonts w:ascii="Cambria Math" w:hAnsi="Cambria Math"/>
                      <w:color w:val="auto"/>
                      <w:sz w:val="20"/>
                      <w:szCs w:val="20"/>
                    </w:rPr>
                    <m:t>-</m:t>
                  </m:r>
                  <m:sSub>
                    <m:sSubPr>
                      <m:ctrlPr>
                        <w:rPr>
                          <w:rFonts w:ascii="Cambria Math" w:hAnsi="Cambria Math"/>
                          <w:i w:val="0"/>
                          <w:iCs/>
                          <w:color w:val="auto"/>
                          <w:sz w:val="20"/>
                          <w:szCs w:val="20"/>
                        </w:rPr>
                      </m:ctrlPr>
                    </m:sSubPr>
                    <m:e>
                      <m:r>
                        <w:rPr>
                          <w:rFonts w:ascii="Cambria Math" w:hAnsi="Cambria Math"/>
                          <w:color w:val="auto"/>
                          <w:sz w:val="20"/>
                          <w:szCs w:val="20"/>
                        </w:rPr>
                        <m:t>d</m:t>
                      </m:r>
                    </m:e>
                    <m:sub>
                      <m:r>
                        <w:rPr>
                          <w:rFonts w:ascii="Cambria Math" w:hAnsi="Cambria Math"/>
                          <w:color w:val="auto"/>
                          <w:sz w:val="20"/>
                          <w:szCs w:val="20"/>
                          <w:lang w:val="sv-SE"/>
                        </w:rPr>
                        <m:t>1</m:t>
                      </m:r>
                    </m:sub>
                  </m:sSub>
                </m:e>
              </m:d>
            </m:num>
            <m:den>
              <m:r>
                <w:rPr>
                  <w:rFonts w:ascii="Cambria Math" w:hAnsi="Cambria Math"/>
                  <w:color w:val="auto"/>
                  <w:sz w:val="20"/>
                  <w:szCs w:val="20"/>
                </w:rPr>
                <m:t>c</m:t>
              </m:r>
            </m:den>
          </m:f>
          <m:r>
            <w:rPr>
              <w:rFonts w:ascii="Cambria Math" w:hAnsi="Cambria Math"/>
              <w:color w:val="auto"/>
              <w:sz w:val="20"/>
              <w:szCs w:val="20"/>
            </w:rPr>
            <m:t>.</m:t>
          </m:r>
        </m:oMath>
      </m:oMathPara>
    </w:p>
    <w:p w14:paraId="1DF1AB8E" w14:textId="77777777" w:rsidR="00B269F3" w:rsidRDefault="00B269F3" w:rsidP="00B269F3">
      <w:pPr>
        <w:rPr>
          <w:b/>
          <w:bCs/>
          <w:u w:val="single"/>
          <w:lang w:val="en-US"/>
        </w:rPr>
      </w:pPr>
    </w:p>
    <w:p w14:paraId="1CFAF305" w14:textId="1E5EF06A" w:rsidR="00A601E9" w:rsidRDefault="00B269F3" w:rsidP="00B269F3">
      <w:pPr>
        <w:rPr>
          <w:lang w:val="en-US"/>
        </w:rPr>
      </w:pPr>
      <w:r w:rsidRPr="001E410F">
        <w:rPr>
          <w:b/>
          <w:bCs/>
          <w:u w:val="single"/>
          <w:lang w:val="en-US"/>
        </w:rPr>
        <w:t>Observation #2</w:t>
      </w:r>
      <w:r w:rsidRPr="001E410F">
        <w:rPr>
          <w:lang w:val="en-US"/>
        </w:rPr>
        <w:t>: We note that the difference between two RSTD</w:t>
      </w:r>
      <w:r w:rsidR="00A601E9">
        <w:rPr>
          <w:lang w:val="en-US"/>
        </w:rPr>
        <w:t xml:space="preserve"> measurement</w:t>
      </w:r>
      <w:r w:rsidRPr="001E410F">
        <w:rPr>
          <w:lang w:val="en-US"/>
        </w:rPr>
        <w:t>s</w:t>
      </w:r>
      <w:r w:rsidR="00A601E9">
        <w:rPr>
          <w:lang w:val="en-US"/>
        </w:rPr>
        <w:t>, where for each RSTD measurement same Rx TEG is used for both target and reference TRP, can have higher accuracy.</w:t>
      </w:r>
    </w:p>
    <w:p w14:paraId="251E862C" w14:textId="63AD3C1E" w:rsidR="00B269F3" w:rsidRPr="00B269F3" w:rsidRDefault="00B269F3" w:rsidP="00E73987">
      <w:pPr>
        <w:rPr>
          <w:rStyle w:val="IvDbodytextChar"/>
          <w:rFonts w:ascii="Times New Roman" w:eastAsia="SimSun" w:hAnsi="Times New Roman"/>
          <w:i/>
          <w:lang w:val="en-GB"/>
        </w:rPr>
      </w:pPr>
      <w:r w:rsidRPr="001E410F">
        <w:rPr>
          <w:b/>
          <w:bCs/>
          <w:u w:val="single"/>
          <w:lang w:val="en-US"/>
        </w:rPr>
        <w:t>Proposal #2</w:t>
      </w:r>
      <w:r w:rsidRPr="001E410F">
        <w:rPr>
          <w:lang w:val="en-US"/>
        </w:rPr>
        <w:t>: Introduce measurement accuracy requirements for difference between two RSTD</w:t>
      </w:r>
      <w:r w:rsidR="00A601E9">
        <w:rPr>
          <w:lang w:val="en-US"/>
        </w:rPr>
        <w:t xml:space="preserve"> measurement</w:t>
      </w:r>
      <w:r w:rsidRPr="001E410F">
        <w:rPr>
          <w:lang w:val="en-US"/>
        </w:rPr>
        <w:t>s</w:t>
      </w:r>
      <w:r w:rsidR="00A601E9">
        <w:rPr>
          <w:lang w:val="en-US"/>
        </w:rPr>
        <w:t>, where for each RSTD measurement same Rx TEG is used for both target and reference TRP.</w:t>
      </w:r>
    </w:p>
    <w:p w14:paraId="283EDCEE" w14:textId="03C1B574" w:rsidR="00D27676" w:rsidRPr="00D27676" w:rsidRDefault="00D27676" w:rsidP="00D27676">
      <w:pPr>
        <w:pStyle w:val="IvDInstructiontext"/>
        <w:rPr>
          <w:rStyle w:val="IvDbodytextChar"/>
          <w:rFonts w:ascii="Times New Roman" w:hAnsi="Times New Roman"/>
          <w:b/>
          <w:bCs/>
          <w:i w:val="0"/>
          <w:color w:val="auto"/>
          <w:sz w:val="20"/>
          <w:szCs w:val="20"/>
          <w:u w:val="single"/>
        </w:rPr>
      </w:pPr>
      <w:r>
        <w:rPr>
          <w:rStyle w:val="IvDbodytextChar"/>
          <w:rFonts w:ascii="Times New Roman" w:hAnsi="Times New Roman"/>
          <w:b/>
          <w:bCs/>
          <w:i w:val="0"/>
          <w:color w:val="auto"/>
          <w:sz w:val="20"/>
          <w:szCs w:val="20"/>
          <w:u w:val="single"/>
        </w:rPr>
        <w:t xml:space="preserve"># </w:t>
      </w:r>
      <w:r w:rsidRPr="00D27676">
        <w:rPr>
          <w:rStyle w:val="IvDbodytextChar"/>
          <w:rFonts w:ascii="Times New Roman" w:hAnsi="Times New Roman"/>
          <w:b/>
          <w:bCs/>
          <w:i w:val="0"/>
          <w:color w:val="auto"/>
          <w:sz w:val="20"/>
          <w:szCs w:val="20"/>
          <w:u w:val="single"/>
        </w:rPr>
        <w:t xml:space="preserve">Case VI: Differential RSTD: </w:t>
      </w:r>
      <w:r w:rsidR="00D55AB3">
        <w:rPr>
          <w:rStyle w:val="IvDbodytextChar"/>
          <w:rFonts w:ascii="Times New Roman" w:hAnsi="Times New Roman"/>
          <w:b/>
          <w:bCs/>
          <w:i w:val="0"/>
          <w:color w:val="auto"/>
          <w:sz w:val="20"/>
          <w:szCs w:val="20"/>
          <w:u w:val="single"/>
        </w:rPr>
        <w:t>same</w:t>
      </w:r>
      <w:r w:rsidRPr="00D27676">
        <w:rPr>
          <w:rStyle w:val="IvDbodytextChar"/>
          <w:rFonts w:ascii="Times New Roman" w:hAnsi="Times New Roman"/>
          <w:b/>
          <w:bCs/>
          <w:i w:val="0"/>
          <w:color w:val="auto"/>
          <w:sz w:val="20"/>
          <w:szCs w:val="20"/>
          <w:u w:val="single"/>
        </w:rPr>
        <w:t xml:space="preserve"> Rx TEG and different Rx TEGs </w:t>
      </w:r>
    </w:p>
    <w:p w14:paraId="0EAE606B" w14:textId="6AE9D2C7" w:rsidR="00D27676" w:rsidRPr="00D27676" w:rsidRDefault="00D27676" w:rsidP="00D27676">
      <w:pPr>
        <w:pStyle w:val="IvDInstructiontext"/>
        <w:rPr>
          <w:rStyle w:val="IvDbodytextChar"/>
          <w:rFonts w:ascii="Times New Roman" w:hAnsi="Times New Roman"/>
          <w:i w:val="0"/>
          <w:color w:val="auto"/>
          <w:sz w:val="20"/>
          <w:szCs w:val="20"/>
        </w:rPr>
      </w:pPr>
      <w:r w:rsidRPr="00D27676">
        <w:rPr>
          <w:rStyle w:val="IvDbodytextChar"/>
          <w:rFonts w:ascii="Times New Roman" w:hAnsi="Times New Roman"/>
          <w:i w:val="0"/>
          <w:color w:val="auto"/>
          <w:sz w:val="20"/>
          <w:szCs w:val="20"/>
        </w:rPr>
        <w:t xml:space="preserve">Differential RSTD is calculated as difference between two RSTD measurements where one RSTD measurement is done by </w:t>
      </w:r>
      <w:r w:rsidR="00757090">
        <w:rPr>
          <w:rStyle w:val="IvDbodytextChar"/>
          <w:rFonts w:ascii="Times New Roman" w:hAnsi="Times New Roman"/>
          <w:i w:val="0"/>
          <w:color w:val="auto"/>
          <w:sz w:val="20"/>
          <w:szCs w:val="20"/>
        </w:rPr>
        <w:t>same</w:t>
      </w:r>
      <w:r w:rsidRPr="00D27676">
        <w:rPr>
          <w:rStyle w:val="IvDbodytextChar"/>
          <w:rFonts w:ascii="Times New Roman" w:hAnsi="Times New Roman"/>
          <w:i w:val="0"/>
          <w:color w:val="auto"/>
          <w:sz w:val="20"/>
          <w:szCs w:val="20"/>
        </w:rPr>
        <w:t xml:space="preserve"> Rx TEG and the other RSTD measurement is done by different Rx TEGs. The differential RSTD measurement in this case takes the form:</w:t>
      </w:r>
    </w:p>
    <w:p w14:paraId="6B0B1289" w14:textId="1F38C789" w:rsidR="00D55AB3" w:rsidRPr="00D27676" w:rsidRDefault="00F33FF0" w:rsidP="00D27676">
      <w:pPr>
        <w:pStyle w:val="IvDInstructiontext"/>
        <w:rPr>
          <w:rFonts w:ascii="Times New Roman" w:hAnsi="Times New Roman"/>
          <w:i w:val="0"/>
          <w:iCs/>
          <w:color w:val="auto"/>
          <w:sz w:val="20"/>
          <w:szCs w:val="20"/>
        </w:rPr>
      </w:pPr>
      <m:oMath>
        <m:sSub>
          <m:sSubPr>
            <m:ctrlPr>
              <w:rPr>
                <w:rFonts w:ascii="Cambria Math" w:hAnsi="Cambria Math"/>
                <w:i w:val="0"/>
                <w:iCs/>
                <w:color w:val="auto"/>
                <w:sz w:val="20"/>
                <w:szCs w:val="20"/>
              </w:rPr>
            </m:ctrlPr>
          </m:sSubPr>
          <m:e>
            <m:r>
              <w:rPr>
                <w:rFonts w:ascii="Cambria Math" w:hAnsi="Cambria Math"/>
                <w:color w:val="auto"/>
                <w:sz w:val="20"/>
                <w:szCs w:val="20"/>
              </w:rPr>
              <m:t>DIFF</m:t>
            </m:r>
          </m:e>
          <m:sub>
            <m:r>
              <w:rPr>
                <w:rFonts w:ascii="Cambria Math" w:hAnsi="Cambria Math"/>
                <w:color w:val="auto"/>
                <w:sz w:val="20"/>
                <w:szCs w:val="20"/>
              </w:rPr>
              <m:t>RSTD,sd</m:t>
            </m:r>
          </m:sub>
        </m:sSub>
        <m:r>
          <w:rPr>
            <w:rFonts w:ascii="Cambria Math" w:hAnsi="Cambria Math"/>
            <w:color w:val="auto"/>
            <w:sz w:val="20"/>
            <w:szCs w:val="20"/>
          </w:rPr>
          <m:t>=</m:t>
        </m:r>
        <m:sSub>
          <m:sSubPr>
            <m:ctrlPr>
              <w:rPr>
                <w:rFonts w:ascii="Cambria Math" w:hAnsi="Cambria Math"/>
                <w:i w:val="0"/>
                <w:iCs/>
                <w:color w:val="auto"/>
                <w:sz w:val="20"/>
                <w:szCs w:val="20"/>
              </w:rPr>
            </m:ctrlPr>
          </m:sSubPr>
          <m:e>
            <m:r>
              <w:rPr>
                <w:rFonts w:ascii="Cambria Math" w:hAnsi="Cambria Math"/>
                <w:color w:val="auto"/>
                <w:sz w:val="20"/>
                <w:szCs w:val="20"/>
              </w:rPr>
              <m:t>RSTD</m:t>
            </m:r>
          </m:e>
          <m:sub>
            <m:r>
              <w:rPr>
                <w:rFonts w:ascii="Cambria Math" w:hAnsi="Cambria Math"/>
                <w:color w:val="auto"/>
                <w:sz w:val="20"/>
                <w:szCs w:val="20"/>
              </w:rPr>
              <m:t>2,ref,d</m:t>
            </m:r>
          </m:sub>
        </m:sSub>
        <m:r>
          <w:rPr>
            <w:rFonts w:ascii="Cambria Math" w:hAnsi="Cambria Math"/>
            <w:color w:val="auto"/>
            <w:sz w:val="20"/>
            <w:szCs w:val="20"/>
          </w:rPr>
          <m:t>-</m:t>
        </m:r>
        <m:sSub>
          <m:sSubPr>
            <m:ctrlPr>
              <w:rPr>
                <w:rFonts w:ascii="Cambria Math" w:hAnsi="Cambria Math"/>
                <w:i w:val="0"/>
                <w:iCs/>
                <w:color w:val="auto"/>
                <w:sz w:val="20"/>
                <w:szCs w:val="20"/>
              </w:rPr>
            </m:ctrlPr>
          </m:sSubPr>
          <m:e>
            <m:r>
              <w:rPr>
                <w:rFonts w:ascii="Cambria Math" w:hAnsi="Cambria Math"/>
                <w:color w:val="auto"/>
                <w:sz w:val="20"/>
                <w:szCs w:val="20"/>
              </w:rPr>
              <m:t>RSTD</m:t>
            </m:r>
          </m:e>
          <m:sub>
            <m:r>
              <w:rPr>
                <w:rFonts w:ascii="Cambria Math" w:hAnsi="Cambria Math"/>
                <w:color w:val="auto"/>
                <w:sz w:val="20"/>
                <w:szCs w:val="20"/>
              </w:rPr>
              <m:t>1,ref,s</m:t>
            </m:r>
          </m:sub>
        </m:sSub>
        <m:r>
          <w:rPr>
            <w:rFonts w:ascii="Cambria Math" w:hAnsi="Cambria Math"/>
            <w:color w:val="auto"/>
            <w:sz w:val="20"/>
            <w:szCs w:val="20"/>
          </w:rPr>
          <m:t>=</m:t>
        </m:r>
        <m:f>
          <m:fPr>
            <m:type m:val="lin"/>
            <m:ctrlPr>
              <w:rPr>
                <w:rFonts w:ascii="Cambria Math" w:hAnsi="Cambria Math"/>
                <w:i w:val="0"/>
                <w:iCs/>
                <w:color w:val="auto"/>
                <w:sz w:val="20"/>
                <w:szCs w:val="20"/>
              </w:rPr>
            </m:ctrlPr>
          </m:fPr>
          <m:num>
            <m:d>
              <m:dPr>
                <m:ctrlPr>
                  <w:rPr>
                    <w:rFonts w:ascii="Cambria Math" w:hAnsi="Cambria Math"/>
                    <w:i w:val="0"/>
                    <w:iCs/>
                    <w:color w:val="auto"/>
                    <w:sz w:val="20"/>
                    <w:szCs w:val="20"/>
                  </w:rPr>
                </m:ctrlPr>
              </m:dPr>
              <m:e>
                <m:sSub>
                  <m:sSubPr>
                    <m:ctrlPr>
                      <w:rPr>
                        <w:rFonts w:ascii="Cambria Math" w:hAnsi="Cambria Math"/>
                        <w:i w:val="0"/>
                        <w:iCs/>
                        <w:color w:val="auto"/>
                        <w:sz w:val="20"/>
                        <w:szCs w:val="20"/>
                      </w:rPr>
                    </m:ctrlPr>
                  </m:sSubPr>
                  <m:e>
                    <m:r>
                      <w:rPr>
                        <w:rFonts w:ascii="Cambria Math" w:hAnsi="Cambria Math"/>
                        <w:color w:val="auto"/>
                        <w:sz w:val="20"/>
                        <w:szCs w:val="20"/>
                      </w:rPr>
                      <m:t>d</m:t>
                    </m:r>
                  </m:e>
                  <m:sub>
                    <m:r>
                      <w:rPr>
                        <w:rFonts w:ascii="Cambria Math" w:hAnsi="Cambria Math"/>
                        <w:color w:val="auto"/>
                        <w:sz w:val="20"/>
                        <w:szCs w:val="20"/>
                      </w:rPr>
                      <m:t>2</m:t>
                    </m:r>
                  </m:sub>
                </m:sSub>
                <m:r>
                  <w:rPr>
                    <w:rFonts w:ascii="Cambria Math" w:hAnsi="Cambria Math"/>
                    <w:color w:val="auto"/>
                    <w:sz w:val="20"/>
                    <w:szCs w:val="20"/>
                  </w:rPr>
                  <m:t>-</m:t>
                </m:r>
                <m:sSub>
                  <m:sSubPr>
                    <m:ctrlPr>
                      <w:rPr>
                        <w:rFonts w:ascii="Cambria Math" w:hAnsi="Cambria Math"/>
                        <w:i w:val="0"/>
                        <w:iCs/>
                        <w:color w:val="auto"/>
                        <w:sz w:val="20"/>
                        <w:szCs w:val="20"/>
                      </w:rPr>
                    </m:ctrlPr>
                  </m:sSubPr>
                  <m:e>
                    <m:r>
                      <w:rPr>
                        <w:rFonts w:ascii="Cambria Math" w:hAnsi="Cambria Math"/>
                        <w:color w:val="auto"/>
                        <w:sz w:val="20"/>
                        <w:szCs w:val="20"/>
                      </w:rPr>
                      <m:t>d</m:t>
                    </m:r>
                  </m:e>
                  <m:sub>
                    <m:r>
                      <w:rPr>
                        <w:rFonts w:ascii="Cambria Math" w:hAnsi="Cambria Math"/>
                        <w:color w:val="auto"/>
                        <w:sz w:val="20"/>
                        <w:szCs w:val="20"/>
                      </w:rPr>
                      <m:t>1</m:t>
                    </m:r>
                  </m:sub>
                </m:sSub>
              </m:e>
            </m:d>
          </m:num>
          <m:den>
            <m:r>
              <w:rPr>
                <w:rFonts w:ascii="Cambria Math" w:hAnsi="Cambria Math"/>
                <w:color w:val="auto"/>
                <w:sz w:val="20"/>
                <w:szCs w:val="20"/>
              </w:rPr>
              <m:t>c</m:t>
            </m:r>
          </m:den>
        </m:f>
        <m:r>
          <w:rPr>
            <w:rFonts w:ascii="Cambria Math" w:hAnsi="Cambria Math"/>
            <w:color w:val="auto"/>
            <w:sz w:val="20"/>
            <w:szCs w:val="20"/>
          </w:rPr>
          <m:t>+</m:t>
        </m:r>
        <m:sSub>
          <m:sSubPr>
            <m:ctrlPr>
              <w:rPr>
                <w:rFonts w:ascii="Cambria Math" w:hAnsi="Cambria Math"/>
                <w:i w:val="0"/>
                <w:iCs/>
                <w:color w:val="auto"/>
                <w:sz w:val="20"/>
                <w:szCs w:val="20"/>
              </w:rPr>
            </m:ctrlPr>
          </m:sSubPr>
          <m:e>
            <m:r>
              <w:rPr>
                <w:rFonts w:ascii="Cambria Math" w:hAnsi="Cambria Math"/>
                <w:color w:val="auto"/>
                <w:sz w:val="20"/>
                <w:szCs w:val="20"/>
              </w:rPr>
              <m:t>τ</m:t>
            </m:r>
          </m:e>
          <m:sub>
            <m:r>
              <w:rPr>
                <w:rFonts w:ascii="Cambria Math" w:hAnsi="Cambria Math"/>
                <w:color w:val="auto"/>
                <w:sz w:val="20"/>
                <w:szCs w:val="20"/>
              </w:rPr>
              <m:t>RX,2</m:t>
            </m:r>
          </m:sub>
        </m:sSub>
        <m:r>
          <w:rPr>
            <w:rFonts w:ascii="Cambria Math" w:hAnsi="Cambria Math"/>
            <w:color w:val="auto"/>
            <w:sz w:val="20"/>
            <w:szCs w:val="20"/>
          </w:rPr>
          <m:t>-</m:t>
        </m:r>
        <m:sSub>
          <m:sSubPr>
            <m:ctrlPr>
              <w:rPr>
                <w:rFonts w:ascii="Cambria Math" w:hAnsi="Cambria Math"/>
                <w:i w:val="0"/>
                <w:iCs/>
                <w:color w:val="auto"/>
                <w:sz w:val="20"/>
                <w:szCs w:val="20"/>
              </w:rPr>
            </m:ctrlPr>
          </m:sSubPr>
          <m:e>
            <m:r>
              <w:rPr>
                <w:rFonts w:ascii="Cambria Math" w:hAnsi="Cambria Math"/>
                <w:color w:val="auto"/>
                <w:sz w:val="20"/>
                <w:szCs w:val="20"/>
              </w:rPr>
              <m:t>τ</m:t>
            </m:r>
          </m:e>
          <m:sub>
            <m:r>
              <w:rPr>
                <w:rFonts w:ascii="Cambria Math" w:hAnsi="Cambria Math"/>
                <w:color w:val="auto"/>
                <w:sz w:val="20"/>
                <w:szCs w:val="20"/>
              </w:rPr>
              <m:t>RX,1</m:t>
            </m:r>
          </m:sub>
        </m:sSub>
      </m:oMath>
      <w:r w:rsidR="00D27676" w:rsidRPr="00D27676">
        <w:rPr>
          <w:rFonts w:ascii="Times New Roman" w:hAnsi="Times New Roman"/>
          <w:i w:val="0"/>
          <w:iCs/>
          <w:color w:val="auto"/>
          <w:sz w:val="20"/>
          <w:szCs w:val="20"/>
        </w:rPr>
        <w:t>.</w:t>
      </w:r>
    </w:p>
    <w:p w14:paraId="1DD6E183" w14:textId="2A3319A2" w:rsidR="00D27676" w:rsidRPr="00D27676" w:rsidRDefault="00D27676" w:rsidP="00D27676">
      <w:pPr>
        <w:pStyle w:val="IvDInstructiontext"/>
        <w:rPr>
          <w:rStyle w:val="IvDbodytextChar"/>
          <w:rFonts w:ascii="Times New Roman" w:hAnsi="Times New Roman"/>
          <w:b/>
          <w:bCs/>
          <w:i w:val="0"/>
          <w:color w:val="auto"/>
          <w:sz w:val="20"/>
          <w:szCs w:val="20"/>
          <w:u w:val="single"/>
        </w:rPr>
      </w:pPr>
      <w:r>
        <w:rPr>
          <w:rStyle w:val="IvDbodytextChar"/>
          <w:rFonts w:ascii="Times New Roman" w:hAnsi="Times New Roman"/>
          <w:b/>
          <w:bCs/>
          <w:i w:val="0"/>
          <w:color w:val="auto"/>
          <w:sz w:val="20"/>
          <w:szCs w:val="20"/>
          <w:u w:val="single"/>
        </w:rPr>
        <w:t xml:space="preserve"># </w:t>
      </w:r>
      <w:r w:rsidRPr="00D27676">
        <w:rPr>
          <w:rStyle w:val="IvDbodytextChar"/>
          <w:rFonts w:ascii="Times New Roman" w:hAnsi="Times New Roman"/>
          <w:b/>
          <w:bCs/>
          <w:i w:val="0"/>
          <w:color w:val="auto"/>
          <w:sz w:val="20"/>
          <w:szCs w:val="20"/>
          <w:u w:val="single"/>
        </w:rPr>
        <w:t>Case VII: Differential RSTD: different Rx TEGs</w:t>
      </w:r>
    </w:p>
    <w:p w14:paraId="57962A1E" w14:textId="77777777" w:rsidR="00D27676" w:rsidRPr="00D27676" w:rsidRDefault="00D27676" w:rsidP="00D27676">
      <w:pPr>
        <w:pStyle w:val="IvDInstructiontext"/>
        <w:rPr>
          <w:rStyle w:val="IvDbodytextChar"/>
          <w:rFonts w:ascii="Times New Roman" w:hAnsi="Times New Roman"/>
          <w:i w:val="0"/>
          <w:color w:val="auto"/>
          <w:sz w:val="20"/>
          <w:szCs w:val="20"/>
        </w:rPr>
      </w:pPr>
      <w:r w:rsidRPr="00D27676">
        <w:rPr>
          <w:rStyle w:val="IvDbodytextChar"/>
          <w:rFonts w:ascii="Times New Roman" w:hAnsi="Times New Roman"/>
          <w:i w:val="0"/>
          <w:color w:val="auto"/>
          <w:sz w:val="20"/>
          <w:szCs w:val="20"/>
        </w:rPr>
        <w:t>Differential RSTD is calculated as difference between two RSTD measurements where both RSTD measurements are done by different Rx TEGs. The differential measurement in this case takes the form:</w:t>
      </w:r>
    </w:p>
    <w:p w14:paraId="36DA9E56" w14:textId="77777777" w:rsidR="00D27676" w:rsidRPr="00D27676" w:rsidRDefault="00F33FF0" w:rsidP="00D27676">
      <w:pPr>
        <w:pStyle w:val="IvDInstructiontext"/>
        <w:rPr>
          <w:rFonts w:ascii="Times New Roman" w:hAnsi="Times New Roman"/>
          <w:i w:val="0"/>
          <w:color w:val="auto"/>
          <w:sz w:val="20"/>
          <w:szCs w:val="20"/>
        </w:rPr>
      </w:pPr>
      <m:oMathPara>
        <m:oMathParaPr>
          <m:jc m:val="left"/>
        </m:oMathParaPr>
        <m:oMath>
          <m:sSub>
            <m:sSubPr>
              <m:ctrlPr>
                <w:rPr>
                  <w:rFonts w:ascii="Cambria Math" w:hAnsi="Cambria Math"/>
                  <w:i w:val="0"/>
                  <w:iCs/>
                  <w:color w:val="auto"/>
                  <w:sz w:val="20"/>
                  <w:szCs w:val="20"/>
                </w:rPr>
              </m:ctrlPr>
            </m:sSubPr>
            <m:e>
              <m:r>
                <w:rPr>
                  <w:rFonts w:ascii="Cambria Math" w:hAnsi="Cambria Math"/>
                  <w:color w:val="auto"/>
                  <w:sz w:val="20"/>
                  <w:szCs w:val="20"/>
                </w:rPr>
                <m:t>DIFF</m:t>
              </m:r>
            </m:e>
            <m:sub>
              <m:r>
                <w:rPr>
                  <w:rFonts w:ascii="Cambria Math" w:hAnsi="Cambria Math"/>
                  <w:color w:val="auto"/>
                  <w:sz w:val="20"/>
                  <w:szCs w:val="20"/>
                  <w:lang w:val="sv-SE"/>
                </w:rPr>
                <m:t>RSTD,d</m:t>
              </m:r>
            </m:sub>
          </m:sSub>
          <m:r>
            <w:rPr>
              <w:rFonts w:ascii="Cambria Math" w:hAnsi="Cambria Math"/>
              <w:color w:val="auto"/>
              <w:sz w:val="20"/>
              <w:szCs w:val="20"/>
            </w:rPr>
            <m:t>=</m:t>
          </m:r>
          <m:sSub>
            <m:sSubPr>
              <m:ctrlPr>
                <w:rPr>
                  <w:rFonts w:ascii="Cambria Math" w:hAnsi="Cambria Math"/>
                  <w:i w:val="0"/>
                  <w:iCs/>
                  <w:color w:val="auto"/>
                  <w:sz w:val="20"/>
                  <w:szCs w:val="20"/>
                </w:rPr>
              </m:ctrlPr>
            </m:sSubPr>
            <m:e>
              <m:r>
                <w:rPr>
                  <w:rFonts w:ascii="Cambria Math" w:hAnsi="Cambria Math"/>
                  <w:color w:val="auto"/>
                  <w:sz w:val="20"/>
                  <w:szCs w:val="20"/>
                </w:rPr>
                <m:t>RSTD</m:t>
              </m:r>
            </m:e>
            <m:sub>
              <m:r>
                <w:rPr>
                  <w:rFonts w:ascii="Cambria Math" w:hAnsi="Cambria Math"/>
                  <w:color w:val="auto"/>
                  <w:sz w:val="20"/>
                  <w:szCs w:val="20"/>
                </w:rPr>
                <m:t>3</m:t>
              </m:r>
              <m:r>
                <w:rPr>
                  <w:rFonts w:ascii="Cambria Math" w:hAnsi="Cambria Math"/>
                  <w:color w:val="auto"/>
                  <w:sz w:val="20"/>
                  <w:szCs w:val="20"/>
                  <w:lang w:val="sv-SE"/>
                </w:rPr>
                <m:t>,ref,d</m:t>
              </m:r>
            </m:sub>
          </m:sSub>
          <m:r>
            <w:rPr>
              <w:rFonts w:ascii="Cambria Math" w:hAnsi="Cambria Math"/>
              <w:color w:val="auto"/>
              <w:sz w:val="20"/>
              <w:szCs w:val="20"/>
            </w:rPr>
            <m:t>-</m:t>
          </m:r>
          <m:sSub>
            <m:sSubPr>
              <m:ctrlPr>
                <w:rPr>
                  <w:rFonts w:ascii="Cambria Math" w:hAnsi="Cambria Math"/>
                  <w:i w:val="0"/>
                  <w:iCs/>
                  <w:color w:val="auto"/>
                  <w:sz w:val="20"/>
                  <w:szCs w:val="20"/>
                </w:rPr>
              </m:ctrlPr>
            </m:sSubPr>
            <m:e>
              <m:r>
                <w:rPr>
                  <w:rFonts w:ascii="Cambria Math" w:hAnsi="Cambria Math"/>
                  <w:color w:val="auto"/>
                  <w:sz w:val="20"/>
                  <w:szCs w:val="20"/>
                </w:rPr>
                <m:t>RSTD</m:t>
              </m:r>
            </m:e>
            <m:sub>
              <m:r>
                <w:rPr>
                  <w:rFonts w:ascii="Cambria Math" w:hAnsi="Cambria Math"/>
                  <w:color w:val="auto"/>
                  <w:sz w:val="20"/>
                  <w:szCs w:val="20"/>
                </w:rPr>
                <m:t>2</m:t>
              </m:r>
              <m:r>
                <w:rPr>
                  <w:rFonts w:ascii="Cambria Math" w:hAnsi="Cambria Math"/>
                  <w:color w:val="auto"/>
                  <w:sz w:val="20"/>
                  <w:szCs w:val="20"/>
                  <w:lang w:val="sv-SE"/>
                </w:rPr>
                <m:t>,ref,d</m:t>
              </m:r>
            </m:sub>
          </m:sSub>
          <m:r>
            <w:rPr>
              <w:rFonts w:ascii="Cambria Math" w:hAnsi="Cambria Math"/>
              <w:color w:val="auto"/>
              <w:sz w:val="20"/>
              <w:szCs w:val="20"/>
            </w:rPr>
            <m:t>=</m:t>
          </m:r>
          <m:f>
            <m:fPr>
              <m:type m:val="lin"/>
              <m:ctrlPr>
                <w:rPr>
                  <w:rFonts w:ascii="Cambria Math" w:hAnsi="Cambria Math"/>
                  <w:i w:val="0"/>
                  <w:iCs/>
                  <w:color w:val="auto"/>
                  <w:sz w:val="20"/>
                  <w:szCs w:val="20"/>
                </w:rPr>
              </m:ctrlPr>
            </m:fPr>
            <m:num>
              <m:d>
                <m:dPr>
                  <m:ctrlPr>
                    <w:rPr>
                      <w:rFonts w:ascii="Cambria Math" w:hAnsi="Cambria Math"/>
                      <w:i w:val="0"/>
                      <w:iCs/>
                      <w:color w:val="auto"/>
                      <w:sz w:val="20"/>
                      <w:szCs w:val="20"/>
                    </w:rPr>
                  </m:ctrlPr>
                </m:dPr>
                <m:e>
                  <m:sSub>
                    <m:sSubPr>
                      <m:ctrlPr>
                        <w:rPr>
                          <w:rFonts w:ascii="Cambria Math" w:hAnsi="Cambria Math"/>
                          <w:i w:val="0"/>
                          <w:iCs/>
                          <w:color w:val="auto"/>
                          <w:sz w:val="20"/>
                          <w:szCs w:val="20"/>
                        </w:rPr>
                      </m:ctrlPr>
                    </m:sSubPr>
                    <m:e>
                      <m:r>
                        <w:rPr>
                          <w:rFonts w:ascii="Cambria Math" w:hAnsi="Cambria Math"/>
                          <w:color w:val="auto"/>
                          <w:sz w:val="20"/>
                          <w:szCs w:val="20"/>
                        </w:rPr>
                        <m:t>d</m:t>
                      </m:r>
                    </m:e>
                    <m:sub>
                      <m:r>
                        <w:rPr>
                          <w:rFonts w:ascii="Cambria Math" w:hAnsi="Cambria Math"/>
                          <w:color w:val="auto"/>
                          <w:sz w:val="20"/>
                          <w:szCs w:val="20"/>
                        </w:rPr>
                        <m:t>3</m:t>
                      </m:r>
                    </m:sub>
                  </m:sSub>
                  <m:r>
                    <w:rPr>
                      <w:rFonts w:ascii="Cambria Math" w:hAnsi="Cambria Math"/>
                      <w:color w:val="auto"/>
                      <w:sz w:val="20"/>
                      <w:szCs w:val="20"/>
                    </w:rPr>
                    <m:t>-</m:t>
                  </m:r>
                  <m:sSub>
                    <m:sSubPr>
                      <m:ctrlPr>
                        <w:rPr>
                          <w:rFonts w:ascii="Cambria Math" w:hAnsi="Cambria Math"/>
                          <w:i w:val="0"/>
                          <w:iCs/>
                          <w:color w:val="auto"/>
                          <w:sz w:val="20"/>
                          <w:szCs w:val="20"/>
                        </w:rPr>
                      </m:ctrlPr>
                    </m:sSubPr>
                    <m:e>
                      <m:r>
                        <w:rPr>
                          <w:rFonts w:ascii="Cambria Math" w:hAnsi="Cambria Math"/>
                          <w:color w:val="auto"/>
                          <w:sz w:val="20"/>
                          <w:szCs w:val="20"/>
                        </w:rPr>
                        <m:t>d</m:t>
                      </m:r>
                    </m:e>
                    <m:sub>
                      <m:r>
                        <w:rPr>
                          <w:rFonts w:ascii="Cambria Math" w:hAnsi="Cambria Math"/>
                          <w:color w:val="auto"/>
                          <w:sz w:val="20"/>
                          <w:szCs w:val="20"/>
                        </w:rPr>
                        <m:t>2</m:t>
                      </m:r>
                    </m:sub>
                  </m:sSub>
                </m:e>
              </m:d>
            </m:num>
            <m:den>
              <m:r>
                <w:rPr>
                  <w:rFonts w:ascii="Cambria Math" w:hAnsi="Cambria Math"/>
                  <w:color w:val="auto"/>
                  <w:sz w:val="20"/>
                  <w:szCs w:val="20"/>
                </w:rPr>
                <m:t>c</m:t>
              </m:r>
            </m:den>
          </m:f>
          <m:r>
            <w:rPr>
              <w:rFonts w:ascii="Cambria Math" w:hAnsi="Cambria Math"/>
              <w:color w:val="auto"/>
              <w:sz w:val="20"/>
              <w:szCs w:val="20"/>
            </w:rPr>
            <m:t>.</m:t>
          </m:r>
        </m:oMath>
      </m:oMathPara>
    </w:p>
    <w:p w14:paraId="2A2239D8" w14:textId="068A8F04" w:rsidR="007247AC" w:rsidRDefault="00D55AB3" w:rsidP="00D27676">
      <w:pPr>
        <w:pStyle w:val="IvDInstructiontext"/>
        <w:rPr>
          <w:rFonts w:ascii="Times New Roman" w:hAnsi="Times New Roman"/>
          <w:i w:val="0"/>
          <w:color w:val="000000" w:themeColor="text1"/>
          <w:sz w:val="20"/>
          <w:szCs w:val="20"/>
        </w:rPr>
      </w:pPr>
      <w:r>
        <w:rPr>
          <w:rFonts w:ascii="Times New Roman" w:hAnsi="Times New Roman"/>
          <w:i w:val="0"/>
          <w:color w:val="000000" w:themeColor="text1"/>
          <w:sz w:val="20"/>
          <w:szCs w:val="20"/>
        </w:rPr>
        <w:t>Based on the presented analysis</w:t>
      </w:r>
      <w:r w:rsidR="007247AC">
        <w:rPr>
          <w:rFonts w:ascii="Times New Roman" w:hAnsi="Times New Roman"/>
          <w:i w:val="0"/>
          <w:color w:val="000000" w:themeColor="text1"/>
          <w:sz w:val="20"/>
          <w:szCs w:val="20"/>
        </w:rPr>
        <w:t xml:space="preserve"> we understand there can be TEG based measurements that do not contribute to mitigate Rx delay mitigation. For effective Rx delay mitigation to achieve high accuracy positioning</w:t>
      </w:r>
      <w:r w:rsidR="00F173DF">
        <w:rPr>
          <w:rFonts w:ascii="Times New Roman" w:hAnsi="Times New Roman"/>
          <w:i w:val="0"/>
          <w:color w:val="000000" w:themeColor="text1"/>
          <w:sz w:val="20"/>
          <w:szCs w:val="20"/>
        </w:rPr>
        <w:t>,</w:t>
      </w:r>
      <w:r w:rsidR="007247AC">
        <w:rPr>
          <w:rFonts w:ascii="Times New Roman" w:hAnsi="Times New Roman"/>
          <w:i w:val="0"/>
          <w:color w:val="000000" w:themeColor="text1"/>
          <w:sz w:val="20"/>
          <w:szCs w:val="20"/>
        </w:rPr>
        <w:t xml:space="preserve"> measurement reporting conditions </w:t>
      </w:r>
      <w:r w:rsidR="00F173DF">
        <w:rPr>
          <w:rFonts w:ascii="Times New Roman" w:hAnsi="Times New Roman"/>
          <w:i w:val="0"/>
          <w:color w:val="000000" w:themeColor="text1"/>
          <w:sz w:val="20"/>
          <w:szCs w:val="20"/>
        </w:rPr>
        <w:t xml:space="preserve">for RSTD measurements </w:t>
      </w:r>
      <w:r w:rsidR="007247AC">
        <w:rPr>
          <w:rFonts w:ascii="Times New Roman" w:hAnsi="Times New Roman"/>
          <w:i w:val="0"/>
          <w:color w:val="000000" w:themeColor="text1"/>
          <w:sz w:val="20"/>
          <w:szCs w:val="20"/>
        </w:rPr>
        <w:t>shall be defined.</w:t>
      </w:r>
      <w:r w:rsidR="00F173DF">
        <w:rPr>
          <w:rFonts w:ascii="Times New Roman" w:hAnsi="Times New Roman"/>
          <w:i w:val="0"/>
          <w:color w:val="000000" w:themeColor="text1"/>
          <w:sz w:val="20"/>
          <w:szCs w:val="20"/>
        </w:rPr>
        <w:t xml:space="preserve"> The reporting conditions can be based on Rx TEG margin for RSTD and differential RSTD measurement reporting</w:t>
      </w:r>
      <w:r w:rsidR="00ED4A66">
        <w:rPr>
          <w:rFonts w:ascii="Times New Roman" w:hAnsi="Times New Roman"/>
          <w:i w:val="0"/>
          <w:color w:val="000000" w:themeColor="text1"/>
          <w:sz w:val="20"/>
          <w:szCs w:val="20"/>
        </w:rPr>
        <w:t>. For RSTD measurements one such condition could be UE transmitting RSTD measurement results to the network if the magnitude of difference between timing error margins of Rx TEGs used for performing the RSTD is below threshold</w:t>
      </w:r>
      <w:r w:rsidR="006B5EF7">
        <w:rPr>
          <w:rFonts w:ascii="Times New Roman" w:hAnsi="Times New Roman"/>
          <w:i w:val="0"/>
          <w:color w:val="000000" w:themeColor="text1"/>
          <w:sz w:val="20"/>
          <w:szCs w:val="20"/>
        </w:rPr>
        <w:t xml:space="preserve"> value</w:t>
      </w:r>
      <w:r w:rsidR="00ED4A66">
        <w:rPr>
          <w:rFonts w:ascii="Times New Roman" w:hAnsi="Times New Roman"/>
          <w:i w:val="0"/>
          <w:color w:val="000000" w:themeColor="text1"/>
          <w:sz w:val="20"/>
          <w:szCs w:val="20"/>
        </w:rPr>
        <w:t xml:space="preserve">. For differential RSTD measurements one such condition could be </w:t>
      </w:r>
      <w:r w:rsidR="00ED4A66" w:rsidRPr="00ED4A66">
        <w:rPr>
          <w:rFonts w:ascii="Times New Roman" w:hAnsi="Times New Roman"/>
          <w:i w:val="0"/>
          <w:color w:val="000000" w:themeColor="text1"/>
          <w:sz w:val="20"/>
          <w:szCs w:val="20"/>
        </w:rPr>
        <w:t xml:space="preserve">UE </w:t>
      </w:r>
      <w:r w:rsidR="006B5EF7" w:rsidRPr="00ED4A66">
        <w:rPr>
          <w:rFonts w:ascii="Times New Roman" w:hAnsi="Times New Roman"/>
          <w:i w:val="0"/>
          <w:color w:val="000000" w:themeColor="text1"/>
          <w:sz w:val="20"/>
          <w:szCs w:val="20"/>
        </w:rPr>
        <w:t>transmit</w:t>
      </w:r>
      <w:r w:rsidR="006B5EF7">
        <w:rPr>
          <w:rFonts w:ascii="Times New Roman" w:hAnsi="Times New Roman"/>
          <w:i w:val="0"/>
          <w:color w:val="000000" w:themeColor="text1"/>
          <w:sz w:val="20"/>
          <w:szCs w:val="20"/>
        </w:rPr>
        <w:t>ting</w:t>
      </w:r>
      <w:r w:rsidR="00ED4A66" w:rsidRPr="00ED4A66">
        <w:rPr>
          <w:rFonts w:ascii="Times New Roman" w:hAnsi="Times New Roman"/>
          <w:i w:val="0"/>
          <w:color w:val="000000" w:themeColor="text1"/>
          <w:sz w:val="20"/>
          <w:szCs w:val="20"/>
        </w:rPr>
        <w:t xml:space="preserve"> the results of the differential RSTD (</w:t>
      </w:r>
      <w:r w:rsidR="006B5EF7">
        <w:rPr>
          <w:rFonts w:ascii="Times New Roman" w:hAnsi="Times New Roman"/>
          <w:i w:val="0"/>
          <w:color w:val="000000" w:themeColor="text1"/>
          <w:sz w:val="20"/>
          <w:szCs w:val="20"/>
        </w:rPr>
        <w:t>∆</w:t>
      </w:r>
      <w:r w:rsidR="00ED4A66" w:rsidRPr="00ED4A66">
        <w:rPr>
          <w:rFonts w:ascii="Times New Roman" w:hAnsi="Times New Roman"/>
          <w:i w:val="0"/>
          <w:color w:val="000000" w:themeColor="text1"/>
          <w:sz w:val="20"/>
          <w:szCs w:val="20"/>
        </w:rPr>
        <w:t>RSTD) (</w:t>
      </w:r>
      <w:proofErr w:type="gramStart"/>
      <w:r w:rsidR="00ED4A66" w:rsidRPr="00ED4A66">
        <w:rPr>
          <w:rFonts w:ascii="Times New Roman" w:hAnsi="Times New Roman"/>
          <w:i w:val="0"/>
          <w:color w:val="000000" w:themeColor="text1"/>
          <w:sz w:val="20"/>
          <w:szCs w:val="20"/>
        </w:rPr>
        <w:t>e.g.</w:t>
      </w:r>
      <w:proofErr w:type="gramEnd"/>
      <w:r w:rsidR="00ED4A66" w:rsidRPr="00ED4A66">
        <w:rPr>
          <w:rFonts w:ascii="Times New Roman" w:hAnsi="Times New Roman"/>
          <w:i w:val="0"/>
          <w:color w:val="000000" w:themeColor="text1"/>
          <w:sz w:val="20"/>
          <w:szCs w:val="20"/>
        </w:rPr>
        <w:t xml:space="preserve"> </w:t>
      </w:r>
      <w:r w:rsidR="006B5EF7">
        <w:rPr>
          <w:rFonts w:ascii="Times New Roman" w:hAnsi="Times New Roman"/>
          <w:i w:val="0"/>
          <w:color w:val="000000" w:themeColor="text1"/>
          <w:sz w:val="20"/>
          <w:szCs w:val="20"/>
        </w:rPr>
        <w:t>∆</w:t>
      </w:r>
      <w:r w:rsidR="00ED4A66" w:rsidRPr="00ED4A66">
        <w:rPr>
          <w:rFonts w:ascii="Times New Roman" w:hAnsi="Times New Roman"/>
          <w:i w:val="0"/>
          <w:color w:val="000000" w:themeColor="text1"/>
          <w:sz w:val="20"/>
          <w:szCs w:val="20"/>
        </w:rPr>
        <w:t xml:space="preserve">RSTD=RSTD1-RSTD2) to </w:t>
      </w:r>
      <w:r w:rsidR="006B5EF7">
        <w:rPr>
          <w:rFonts w:ascii="Times New Roman" w:hAnsi="Times New Roman"/>
          <w:i w:val="0"/>
          <w:color w:val="000000" w:themeColor="text1"/>
          <w:sz w:val="20"/>
          <w:szCs w:val="20"/>
        </w:rPr>
        <w:t xml:space="preserve">the </w:t>
      </w:r>
      <w:r w:rsidR="00ED4A66" w:rsidRPr="00ED4A66">
        <w:rPr>
          <w:rFonts w:ascii="Times New Roman" w:hAnsi="Times New Roman"/>
          <w:i w:val="0"/>
          <w:color w:val="000000" w:themeColor="text1"/>
          <w:sz w:val="20"/>
          <w:szCs w:val="20"/>
        </w:rPr>
        <w:t xml:space="preserve">network if the magnitude of difference between timing error margins of Rx TEGs used for performing the first RSTD (RSTD1) and the second RSTD (RSTD2) is below </w:t>
      </w:r>
      <w:r w:rsidR="006B5EF7">
        <w:rPr>
          <w:rFonts w:ascii="Times New Roman" w:hAnsi="Times New Roman"/>
          <w:i w:val="0"/>
          <w:color w:val="000000" w:themeColor="text1"/>
          <w:sz w:val="20"/>
          <w:szCs w:val="20"/>
        </w:rPr>
        <w:t xml:space="preserve">a </w:t>
      </w:r>
      <w:r w:rsidR="00ED4A66" w:rsidRPr="00ED4A66">
        <w:rPr>
          <w:rFonts w:ascii="Times New Roman" w:hAnsi="Times New Roman"/>
          <w:i w:val="0"/>
          <w:color w:val="000000" w:themeColor="text1"/>
          <w:sz w:val="20"/>
          <w:szCs w:val="20"/>
        </w:rPr>
        <w:t>threshold</w:t>
      </w:r>
      <w:r w:rsidR="006B5EF7">
        <w:rPr>
          <w:rFonts w:ascii="Times New Roman" w:hAnsi="Times New Roman"/>
          <w:i w:val="0"/>
          <w:color w:val="000000" w:themeColor="text1"/>
          <w:sz w:val="20"/>
          <w:szCs w:val="20"/>
        </w:rPr>
        <w:t xml:space="preserve"> value.</w:t>
      </w:r>
      <w:r w:rsidR="00ED4A66">
        <w:rPr>
          <w:rFonts w:ascii="Times New Roman" w:hAnsi="Times New Roman"/>
          <w:i w:val="0"/>
          <w:color w:val="000000" w:themeColor="text1"/>
          <w:sz w:val="20"/>
          <w:szCs w:val="20"/>
        </w:rPr>
        <w:t xml:space="preserve"> </w:t>
      </w:r>
      <w:r w:rsidR="003B3F22">
        <w:rPr>
          <w:rFonts w:ascii="Times New Roman" w:hAnsi="Times New Roman"/>
          <w:i w:val="0"/>
          <w:color w:val="000000" w:themeColor="text1"/>
          <w:sz w:val="20"/>
          <w:szCs w:val="20"/>
        </w:rPr>
        <w:t>The threshold value can be defined as a function or relation between the timing error margin values considered for RSTD and differential RSTD measurements.</w:t>
      </w:r>
      <w:r w:rsidR="008F7CFF">
        <w:rPr>
          <w:rFonts w:ascii="Times New Roman" w:hAnsi="Times New Roman"/>
          <w:i w:val="0"/>
          <w:color w:val="000000" w:themeColor="text1"/>
          <w:sz w:val="20"/>
          <w:szCs w:val="20"/>
        </w:rPr>
        <w:t xml:space="preserve"> </w:t>
      </w:r>
      <w:r w:rsidR="008F7CFF" w:rsidRPr="008F7CFF">
        <w:rPr>
          <w:rFonts w:ascii="Times New Roman" w:hAnsi="Times New Roman"/>
          <w:i w:val="0"/>
          <w:color w:val="000000" w:themeColor="text1"/>
          <w:sz w:val="20"/>
          <w:szCs w:val="20"/>
        </w:rPr>
        <w:t>When it comes to UEs that do not support multiple TEGs, then Rel. 16 accuracy requirements apply.</w:t>
      </w:r>
    </w:p>
    <w:p w14:paraId="4DF0BF0F" w14:textId="77777777" w:rsidR="00991859" w:rsidRDefault="00991859" w:rsidP="00991859">
      <w:pPr>
        <w:pStyle w:val="IvDInstructiontext"/>
        <w:rPr>
          <w:rFonts w:ascii="Times New Roman" w:hAnsi="Times New Roman"/>
          <w:i w:val="0"/>
          <w:iCs/>
          <w:color w:val="000000" w:themeColor="text1"/>
          <w:sz w:val="20"/>
        </w:rPr>
      </w:pPr>
      <w:r w:rsidRPr="00BC0396">
        <w:rPr>
          <w:rFonts w:ascii="Times New Roman" w:hAnsi="Times New Roman"/>
          <w:b/>
          <w:bCs/>
          <w:i w:val="0"/>
          <w:color w:val="000000" w:themeColor="text1"/>
          <w:sz w:val="20"/>
          <w:szCs w:val="20"/>
          <w:u w:val="single"/>
        </w:rPr>
        <w:t>Proposal #</w:t>
      </w:r>
      <w:r>
        <w:rPr>
          <w:rFonts w:ascii="Times New Roman" w:hAnsi="Times New Roman"/>
          <w:b/>
          <w:bCs/>
          <w:i w:val="0"/>
          <w:color w:val="000000" w:themeColor="text1"/>
          <w:sz w:val="20"/>
          <w:szCs w:val="20"/>
          <w:u w:val="single"/>
        </w:rPr>
        <w:t>3</w:t>
      </w:r>
      <w:r>
        <w:rPr>
          <w:rFonts w:ascii="Times New Roman" w:hAnsi="Times New Roman"/>
          <w:i w:val="0"/>
          <w:color w:val="000000" w:themeColor="text1"/>
          <w:sz w:val="20"/>
          <w:szCs w:val="20"/>
        </w:rPr>
        <w:t xml:space="preserve">: </w:t>
      </w:r>
      <w:r w:rsidRPr="00D55AB3">
        <w:rPr>
          <w:rFonts w:ascii="Times New Roman" w:hAnsi="Times New Roman"/>
          <w:i w:val="0"/>
          <w:iCs/>
          <w:color w:val="000000" w:themeColor="text1"/>
          <w:sz w:val="20"/>
        </w:rPr>
        <w:t xml:space="preserve">The UE shall report RSTD provided that the magnitude of difference between timing error margins of the two TEGs used for RSTD is below </w:t>
      </w:r>
      <w:r w:rsidRPr="00AC71E2">
        <w:rPr>
          <w:rFonts w:ascii="Times New Roman" w:hAnsi="Times New Roman"/>
          <w:i w:val="0"/>
          <w:iCs/>
          <w:color w:val="000000" w:themeColor="text1"/>
          <w:sz w:val="20"/>
        </w:rPr>
        <w:t>X Tc; X is TBD</w:t>
      </w:r>
      <w:r>
        <w:rPr>
          <w:rFonts w:ascii="Times New Roman" w:hAnsi="Times New Roman"/>
          <w:i w:val="0"/>
          <w:iCs/>
          <w:color w:val="000000" w:themeColor="text1"/>
          <w:sz w:val="20"/>
        </w:rPr>
        <w:t>.</w:t>
      </w:r>
      <w:r w:rsidRPr="00D55AB3">
        <w:rPr>
          <w:rFonts w:ascii="Times New Roman" w:hAnsi="Times New Roman"/>
          <w:i w:val="0"/>
          <w:iCs/>
          <w:color w:val="000000" w:themeColor="text1"/>
          <w:sz w:val="20"/>
        </w:rPr>
        <w:t xml:space="preserve"> </w:t>
      </w:r>
      <w:r>
        <w:rPr>
          <w:rFonts w:ascii="Times New Roman" w:hAnsi="Times New Roman"/>
          <w:i w:val="0"/>
          <w:iCs/>
          <w:color w:val="000000" w:themeColor="text1"/>
          <w:sz w:val="20"/>
        </w:rPr>
        <w:t>O</w:t>
      </w:r>
      <w:r w:rsidRPr="00D55AB3">
        <w:rPr>
          <w:rFonts w:ascii="Times New Roman" w:hAnsi="Times New Roman"/>
          <w:i w:val="0"/>
          <w:iCs/>
          <w:color w:val="000000" w:themeColor="text1"/>
          <w:sz w:val="20"/>
        </w:rPr>
        <w:t xml:space="preserve">therwise, UE does not report </w:t>
      </w:r>
      <w:r>
        <w:rPr>
          <w:rFonts w:ascii="Times New Roman" w:hAnsi="Times New Roman"/>
          <w:i w:val="0"/>
          <w:iCs/>
          <w:color w:val="000000" w:themeColor="text1"/>
          <w:sz w:val="20"/>
        </w:rPr>
        <w:t xml:space="preserve">the </w:t>
      </w:r>
      <w:r w:rsidRPr="00D55AB3">
        <w:rPr>
          <w:rFonts w:ascii="Times New Roman" w:hAnsi="Times New Roman"/>
          <w:i w:val="0"/>
          <w:iCs/>
          <w:color w:val="000000" w:themeColor="text1"/>
          <w:sz w:val="20"/>
        </w:rPr>
        <w:t>RSTD</w:t>
      </w:r>
      <w:r>
        <w:rPr>
          <w:rFonts w:ascii="Times New Roman" w:hAnsi="Times New Roman"/>
          <w:i w:val="0"/>
          <w:iCs/>
          <w:color w:val="000000" w:themeColor="text1"/>
          <w:sz w:val="20"/>
        </w:rPr>
        <w:t xml:space="preserve"> measurement.</w:t>
      </w:r>
    </w:p>
    <w:p w14:paraId="27DE7DF0" w14:textId="77777777" w:rsidR="00991859" w:rsidRDefault="00991859" w:rsidP="00991859">
      <w:pPr>
        <w:pStyle w:val="IvDInstructiontext"/>
        <w:rPr>
          <w:rFonts w:ascii="Times New Roman" w:hAnsi="Times New Roman"/>
          <w:i w:val="0"/>
          <w:iCs/>
          <w:color w:val="000000" w:themeColor="text1"/>
          <w:sz w:val="20"/>
        </w:rPr>
      </w:pPr>
      <w:r w:rsidRPr="00BC0396">
        <w:rPr>
          <w:rFonts w:ascii="Times New Roman" w:hAnsi="Times New Roman"/>
          <w:b/>
          <w:bCs/>
          <w:i w:val="0"/>
          <w:iCs/>
          <w:color w:val="000000" w:themeColor="text1"/>
          <w:sz w:val="20"/>
          <w:u w:val="single"/>
        </w:rPr>
        <w:t>Proposal #</w:t>
      </w:r>
      <w:r>
        <w:rPr>
          <w:rFonts w:ascii="Times New Roman" w:hAnsi="Times New Roman"/>
          <w:b/>
          <w:bCs/>
          <w:i w:val="0"/>
          <w:iCs/>
          <w:color w:val="000000" w:themeColor="text1"/>
          <w:sz w:val="20"/>
          <w:u w:val="single"/>
        </w:rPr>
        <w:t>4</w:t>
      </w:r>
      <w:r>
        <w:rPr>
          <w:rFonts w:ascii="Times New Roman" w:hAnsi="Times New Roman"/>
          <w:i w:val="0"/>
          <w:iCs/>
          <w:color w:val="000000" w:themeColor="text1"/>
          <w:sz w:val="20"/>
        </w:rPr>
        <w:t xml:space="preserve">: </w:t>
      </w:r>
      <w:r w:rsidRPr="00D55AB3">
        <w:rPr>
          <w:rFonts w:ascii="Times New Roman" w:hAnsi="Times New Roman"/>
          <w:i w:val="0"/>
          <w:iCs/>
          <w:color w:val="000000" w:themeColor="text1"/>
          <w:sz w:val="20"/>
        </w:rPr>
        <w:t>The UE shall report DIFF</w:t>
      </w:r>
      <w:r w:rsidRPr="00D55AB3">
        <w:rPr>
          <w:rFonts w:ascii="Times New Roman" w:hAnsi="Times New Roman"/>
          <w:i w:val="0"/>
          <w:iCs/>
          <w:color w:val="000000" w:themeColor="text1"/>
          <w:sz w:val="20"/>
          <w:vertAlign w:val="subscript"/>
        </w:rPr>
        <w:t>RSTD</w:t>
      </w:r>
      <w:r w:rsidRPr="00D55AB3">
        <w:rPr>
          <w:rFonts w:ascii="Times New Roman" w:hAnsi="Times New Roman"/>
          <w:i w:val="0"/>
          <w:iCs/>
          <w:color w:val="000000" w:themeColor="text1"/>
          <w:sz w:val="20"/>
        </w:rPr>
        <w:t xml:space="preserve"> provided that the magnitude of difference between timing error margins of the two TEGs used for the two RSTD measurements is below </w:t>
      </w:r>
      <w:r>
        <w:rPr>
          <w:rFonts w:ascii="Times New Roman" w:hAnsi="Times New Roman"/>
          <w:i w:val="0"/>
          <w:iCs/>
          <w:color w:val="000000" w:themeColor="text1"/>
          <w:sz w:val="20"/>
        </w:rPr>
        <w:t>X Tc; X is TBD.</w:t>
      </w:r>
      <w:r w:rsidRPr="00D55AB3">
        <w:rPr>
          <w:rFonts w:ascii="Times New Roman" w:hAnsi="Times New Roman"/>
          <w:i w:val="0"/>
          <w:iCs/>
          <w:color w:val="000000" w:themeColor="text1"/>
          <w:sz w:val="20"/>
        </w:rPr>
        <w:t xml:space="preserve"> </w:t>
      </w:r>
      <w:r>
        <w:rPr>
          <w:rFonts w:ascii="Times New Roman" w:hAnsi="Times New Roman"/>
          <w:i w:val="0"/>
          <w:iCs/>
          <w:color w:val="000000" w:themeColor="text1"/>
          <w:sz w:val="20"/>
        </w:rPr>
        <w:t>O</w:t>
      </w:r>
      <w:r w:rsidRPr="00D55AB3">
        <w:rPr>
          <w:rFonts w:ascii="Times New Roman" w:hAnsi="Times New Roman"/>
          <w:i w:val="0"/>
          <w:iCs/>
          <w:color w:val="000000" w:themeColor="text1"/>
          <w:sz w:val="20"/>
        </w:rPr>
        <w:t>therwise, UE does not report the measurement</w:t>
      </w:r>
      <w:r>
        <w:rPr>
          <w:rFonts w:ascii="Times New Roman" w:hAnsi="Times New Roman"/>
          <w:i w:val="0"/>
          <w:iCs/>
          <w:color w:val="000000" w:themeColor="text1"/>
          <w:sz w:val="20"/>
        </w:rPr>
        <w:t>.</w:t>
      </w:r>
    </w:p>
    <w:p w14:paraId="1D9231B6" w14:textId="77777777" w:rsidR="00991859" w:rsidRDefault="00991859" w:rsidP="00991859">
      <w:pPr>
        <w:pStyle w:val="IvDInstructiontext"/>
        <w:rPr>
          <w:rFonts w:ascii="Times New Roman" w:hAnsi="Times New Roman"/>
          <w:i w:val="0"/>
          <w:iCs/>
          <w:color w:val="000000" w:themeColor="text1"/>
          <w:sz w:val="20"/>
        </w:rPr>
      </w:pPr>
      <w:r w:rsidRPr="00BC0396">
        <w:rPr>
          <w:rFonts w:ascii="Times New Roman" w:hAnsi="Times New Roman"/>
          <w:b/>
          <w:bCs/>
          <w:i w:val="0"/>
          <w:iCs/>
          <w:color w:val="000000" w:themeColor="text1"/>
          <w:sz w:val="20"/>
          <w:u w:val="single"/>
        </w:rPr>
        <w:t>Proposal #</w:t>
      </w:r>
      <w:r>
        <w:rPr>
          <w:rFonts w:ascii="Times New Roman" w:hAnsi="Times New Roman"/>
          <w:b/>
          <w:bCs/>
          <w:i w:val="0"/>
          <w:iCs/>
          <w:color w:val="000000" w:themeColor="text1"/>
          <w:sz w:val="20"/>
          <w:u w:val="single"/>
        </w:rPr>
        <w:t>5</w:t>
      </w:r>
      <w:r>
        <w:rPr>
          <w:rFonts w:ascii="Times New Roman" w:hAnsi="Times New Roman"/>
          <w:i w:val="0"/>
          <w:iCs/>
          <w:color w:val="000000" w:themeColor="text1"/>
          <w:sz w:val="20"/>
        </w:rPr>
        <w:t xml:space="preserve">: </w:t>
      </w:r>
      <w:r w:rsidRPr="00D55AB3">
        <w:rPr>
          <w:rFonts w:ascii="Times New Roman" w:hAnsi="Times New Roman"/>
          <w:i w:val="0"/>
          <w:iCs/>
          <w:color w:val="000000" w:themeColor="text1"/>
          <w:sz w:val="20"/>
        </w:rPr>
        <w:t>The UE shall report DIFF</w:t>
      </w:r>
      <w:r w:rsidRPr="00D55AB3">
        <w:rPr>
          <w:rFonts w:ascii="Times New Roman" w:hAnsi="Times New Roman"/>
          <w:i w:val="0"/>
          <w:iCs/>
          <w:color w:val="000000" w:themeColor="text1"/>
          <w:sz w:val="20"/>
          <w:vertAlign w:val="subscript"/>
        </w:rPr>
        <w:t>RSTD</w:t>
      </w:r>
      <w:r w:rsidRPr="00D55AB3">
        <w:rPr>
          <w:rFonts w:ascii="Times New Roman" w:hAnsi="Times New Roman"/>
          <w:i w:val="0"/>
          <w:iCs/>
          <w:color w:val="000000" w:themeColor="text1"/>
          <w:sz w:val="20"/>
        </w:rPr>
        <w:t xml:space="preserve"> provided that the magnitude of difference between timing error margins of </w:t>
      </w:r>
      <w:r>
        <w:rPr>
          <w:rFonts w:ascii="Times New Roman" w:hAnsi="Times New Roman"/>
          <w:i w:val="0"/>
          <w:iCs/>
          <w:color w:val="000000" w:themeColor="text1"/>
          <w:sz w:val="20"/>
        </w:rPr>
        <w:t>any</w:t>
      </w:r>
      <w:r w:rsidRPr="00D55AB3">
        <w:rPr>
          <w:rFonts w:ascii="Times New Roman" w:hAnsi="Times New Roman"/>
          <w:i w:val="0"/>
          <w:iCs/>
          <w:color w:val="000000" w:themeColor="text1"/>
          <w:sz w:val="20"/>
        </w:rPr>
        <w:t xml:space="preserve"> two TEGs used for the two RSTD measurements is below </w:t>
      </w:r>
      <w:r>
        <w:rPr>
          <w:rFonts w:ascii="Times New Roman" w:hAnsi="Times New Roman"/>
          <w:i w:val="0"/>
          <w:iCs/>
          <w:color w:val="000000" w:themeColor="text1"/>
          <w:sz w:val="20"/>
        </w:rPr>
        <w:t>X Tc; X is TBD.</w:t>
      </w:r>
      <w:r w:rsidRPr="00D55AB3">
        <w:rPr>
          <w:rFonts w:ascii="Times New Roman" w:hAnsi="Times New Roman"/>
          <w:i w:val="0"/>
          <w:iCs/>
          <w:color w:val="000000" w:themeColor="text1"/>
          <w:sz w:val="20"/>
        </w:rPr>
        <w:t xml:space="preserve"> </w:t>
      </w:r>
      <w:r>
        <w:rPr>
          <w:rFonts w:ascii="Times New Roman" w:hAnsi="Times New Roman"/>
          <w:i w:val="0"/>
          <w:iCs/>
          <w:color w:val="000000" w:themeColor="text1"/>
          <w:sz w:val="20"/>
        </w:rPr>
        <w:t>O</w:t>
      </w:r>
      <w:r w:rsidRPr="00D55AB3">
        <w:rPr>
          <w:rFonts w:ascii="Times New Roman" w:hAnsi="Times New Roman"/>
          <w:i w:val="0"/>
          <w:iCs/>
          <w:color w:val="000000" w:themeColor="text1"/>
          <w:sz w:val="20"/>
        </w:rPr>
        <w:t>therwise</w:t>
      </w:r>
      <w:r>
        <w:rPr>
          <w:rFonts w:ascii="Times New Roman" w:hAnsi="Times New Roman"/>
          <w:i w:val="0"/>
          <w:iCs/>
          <w:color w:val="000000" w:themeColor="text1"/>
          <w:sz w:val="20"/>
        </w:rPr>
        <w:t>,</w:t>
      </w:r>
      <w:r w:rsidRPr="00D55AB3">
        <w:rPr>
          <w:rFonts w:ascii="Times New Roman" w:hAnsi="Times New Roman"/>
          <w:i w:val="0"/>
          <w:iCs/>
          <w:color w:val="000000" w:themeColor="text1"/>
          <w:sz w:val="20"/>
        </w:rPr>
        <w:t xml:space="preserve"> UE does not report the measurement</w:t>
      </w:r>
      <w:r>
        <w:rPr>
          <w:rFonts w:ascii="Times New Roman" w:hAnsi="Times New Roman"/>
          <w:i w:val="0"/>
          <w:iCs/>
          <w:color w:val="000000" w:themeColor="text1"/>
          <w:sz w:val="20"/>
        </w:rPr>
        <w:t>.</w:t>
      </w:r>
    </w:p>
    <w:p w14:paraId="3A74238A" w14:textId="77777777" w:rsidR="008F7CFF" w:rsidRDefault="008F7CFF" w:rsidP="00A643DA">
      <w:pPr>
        <w:rPr>
          <w:b/>
          <w:bCs/>
          <w:u w:val="single"/>
          <w:lang w:val="en-US"/>
        </w:rPr>
      </w:pPr>
    </w:p>
    <w:p w14:paraId="5B301536" w14:textId="26B11D75" w:rsidR="001258F7" w:rsidRPr="001E410F" w:rsidRDefault="0098000E" w:rsidP="00A643DA">
      <w:pPr>
        <w:rPr>
          <w:lang w:val="en-US"/>
        </w:rPr>
      </w:pPr>
      <w:r w:rsidRPr="00764067">
        <w:rPr>
          <w:b/>
          <w:bCs/>
          <w:u w:val="single"/>
          <w:lang w:val="en-US"/>
        </w:rPr>
        <w:t>Proposal #</w:t>
      </w:r>
      <w:r w:rsidR="00991859">
        <w:rPr>
          <w:b/>
          <w:bCs/>
          <w:u w:val="single"/>
          <w:lang w:val="en-US"/>
        </w:rPr>
        <w:t>6</w:t>
      </w:r>
      <w:r>
        <w:rPr>
          <w:lang w:val="en-US"/>
        </w:rPr>
        <w:t xml:space="preserve">: </w:t>
      </w:r>
      <w:r w:rsidR="00673CF1">
        <w:rPr>
          <w:lang w:val="en-US"/>
        </w:rPr>
        <w:t>Rel. 16 measurement accuracy</w:t>
      </w:r>
      <w:r w:rsidR="00764067">
        <w:rPr>
          <w:lang w:val="en-US"/>
        </w:rPr>
        <w:t xml:space="preserve"> applies to</w:t>
      </w:r>
      <w:r w:rsidR="00673CF1">
        <w:rPr>
          <w:lang w:val="en-US"/>
        </w:rPr>
        <w:t xml:space="preserve"> </w:t>
      </w:r>
      <w:r>
        <w:rPr>
          <w:lang w:val="en-US"/>
        </w:rPr>
        <w:t xml:space="preserve">UEs </w:t>
      </w:r>
      <w:r w:rsidR="00673CF1">
        <w:rPr>
          <w:lang w:val="en-US"/>
        </w:rPr>
        <w:t>not supporting multiple Rx TEGs</w:t>
      </w:r>
      <w:r w:rsidR="00764067">
        <w:rPr>
          <w:lang w:val="en-US"/>
        </w:rPr>
        <w:t>.</w:t>
      </w:r>
    </w:p>
    <w:p w14:paraId="5878BA3D" w14:textId="2A23C6F4" w:rsidR="008C241C" w:rsidRPr="001E410F" w:rsidRDefault="008C241C" w:rsidP="008C241C">
      <w:pPr>
        <w:pStyle w:val="Heading2"/>
        <w:rPr>
          <w:lang w:val="en-US"/>
        </w:rPr>
      </w:pPr>
      <w:r w:rsidRPr="001E410F">
        <w:rPr>
          <w:lang w:val="en-US"/>
        </w:rPr>
        <w:t xml:space="preserve">Impact of Tx TEG </w:t>
      </w:r>
      <w:r w:rsidR="00344A25">
        <w:rPr>
          <w:lang w:val="en-US"/>
        </w:rPr>
        <w:t xml:space="preserve">and RxTx TEG </w:t>
      </w:r>
      <w:r w:rsidRPr="001E410F">
        <w:rPr>
          <w:lang w:val="en-US"/>
        </w:rPr>
        <w:t>on accuracy requirement</w:t>
      </w:r>
    </w:p>
    <w:p w14:paraId="3549657B" w14:textId="77777777" w:rsidR="0077010C" w:rsidRDefault="00133A27" w:rsidP="00A643DA">
      <w:pPr>
        <w:jc w:val="both"/>
        <w:rPr>
          <w:lang w:val="en-US"/>
        </w:rPr>
      </w:pPr>
      <w:r w:rsidRPr="001E410F">
        <w:rPr>
          <w:lang w:val="en-US"/>
        </w:rPr>
        <w:t>Like</w:t>
      </w:r>
      <w:r w:rsidR="00A643DA" w:rsidRPr="001E410F">
        <w:rPr>
          <w:lang w:val="en-US"/>
        </w:rPr>
        <w:t xml:space="preserve"> UE Rx TEG, UE Tx </w:t>
      </w:r>
      <w:r w:rsidR="00F36665">
        <w:rPr>
          <w:lang w:val="en-US"/>
        </w:rPr>
        <w:t xml:space="preserve">and RxTx </w:t>
      </w:r>
      <w:r w:rsidR="00A643DA" w:rsidRPr="001E410F">
        <w:rPr>
          <w:lang w:val="en-US"/>
        </w:rPr>
        <w:t>TEG</w:t>
      </w:r>
      <w:r w:rsidR="00F36665">
        <w:rPr>
          <w:lang w:val="en-US"/>
        </w:rPr>
        <w:t>s</w:t>
      </w:r>
      <w:r w:rsidR="00A643DA" w:rsidRPr="001E410F">
        <w:rPr>
          <w:lang w:val="en-US"/>
        </w:rPr>
        <w:t xml:space="preserve"> also ha</w:t>
      </w:r>
      <w:r w:rsidR="00F36665">
        <w:rPr>
          <w:lang w:val="en-US"/>
        </w:rPr>
        <w:t>ve</w:t>
      </w:r>
      <w:r w:rsidR="00A643DA" w:rsidRPr="001E410F">
        <w:rPr>
          <w:lang w:val="en-US"/>
        </w:rPr>
        <w:t xml:space="preserve"> implications on accuracy requirements. To enable high accuracy UL-TD</w:t>
      </w:r>
      <w:r w:rsidR="00780605">
        <w:rPr>
          <w:lang w:val="en-US"/>
        </w:rPr>
        <w:t>o</w:t>
      </w:r>
      <w:r w:rsidR="00A643DA" w:rsidRPr="001E410F">
        <w:rPr>
          <w:lang w:val="en-US"/>
        </w:rPr>
        <w:t>A positioning, requirements are needed on the difference in transmission timing between SRS transmissions performed with the same or different UE Tx TEGs.</w:t>
      </w:r>
      <w:r w:rsidR="00DB5A22">
        <w:rPr>
          <w:lang w:val="en-US"/>
        </w:rPr>
        <w:t xml:space="preserve"> </w:t>
      </w:r>
    </w:p>
    <w:p w14:paraId="78995B4B" w14:textId="39E411C9" w:rsidR="0077010C" w:rsidRDefault="0077010C" w:rsidP="0077010C">
      <w:pPr>
        <w:rPr>
          <w:lang w:val="en-US"/>
        </w:rPr>
      </w:pPr>
      <w:r w:rsidRPr="001E410F">
        <w:rPr>
          <w:b/>
          <w:bCs/>
          <w:u w:val="single"/>
          <w:lang w:val="en-US"/>
        </w:rPr>
        <w:t xml:space="preserve">Proposal </w:t>
      </w:r>
      <w:r>
        <w:rPr>
          <w:b/>
          <w:bCs/>
          <w:u w:val="single"/>
          <w:lang w:val="en-US"/>
        </w:rPr>
        <w:t>#</w:t>
      </w:r>
      <w:r w:rsidR="00991859">
        <w:rPr>
          <w:b/>
          <w:bCs/>
          <w:u w:val="single"/>
          <w:lang w:val="en-US"/>
        </w:rPr>
        <w:t>7</w:t>
      </w:r>
      <w:r w:rsidRPr="001E410F">
        <w:rPr>
          <w:lang w:val="en-US"/>
        </w:rPr>
        <w:t>: Introduce measurement accuracy requirements for timing difference between SRS transmissions performed with same or different UE Tx TEGs.</w:t>
      </w:r>
    </w:p>
    <w:p w14:paraId="21AF7C0D" w14:textId="5BC6E704" w:rsidR="005A5CCC" w:rsidRDefault="00DB5A22" w:rsidP="00A643DA">
      <w:pPr>
        <w:jc w:val="both"/>
        <w:rPr>
          <w:lang w:val="en-US"/>
        </w:rPr>
      </w:pPr>
      <w:r>
        <w:rPr>
          <w:lang w:val="en-US"/>
        </w:rPr>
        <w:t>RxTx TEG</w:t>
      </w:r>
      <w:r w:rsidR="00907437">
        <w:rPr>
          <w:lang w:val="en-US"/>
        </w:rPr>
        <w:t xml:space="preserve"> has </w:t>
      </w:r>
      <w:r w:rsidR="00662A16">
        <w:rPr>
          <w:lang w:val="en-US"/>
        </w:rPr>
        <w:t>an impact on accuracy of multi-RTT positioning.</w:t>
      </w:r>
      <w:r w:rsidR="0033765C">
        <w:rPr>
          <w:lang w:val="en-US"/>
        </w:rPr>
        <w:t xml:space="preserve"> For UEs capable of multiple TEGs, </w:t>
      </w:r>
      <w:r w:rsidR="005A5CCC">
        <w:rPr>
          <w:lang w:val="en-US"/>
        </w:rPr>
        <w:t xml:space="preserve">two </w:t>
      </w:r>
      <w:r w:rsidR="004F7FFE">
        <w:rPr>
          <w:lang w:val="en-US"/>
        </w:rPr>
        <w:t>scenarios</w:t>
      </w:r>
      <w:r w:rsidR="005A5CCC">
        <w:rPr>
          <w:lang w:val="en-US"/>
        </w:rPr>
        <w:t xml:space="preserve"> become prominent for which </w:t>
      </w:r>
      <w:r w:rsidR="00660546">
        <w:rPr>
          <w:lang w:val="en-US"/>
        </w:rPr>
        <w:t>RxTx TEG margin needs to be defined.</w:t>
      </w:r>
    </w:p>
    <w:p w14:paraId="4BE1079F" w14:textId="02803102" w:rsidR="00660546" w:rsidRPr="004F7FFE" w:rsidRDefault="004F7FFE" w:rsidP="004F7FFE">
      <w:pPr>
        <w:pStyle w:val="ListParagraph"/>
        <w:numPr>
          <w:ilvl w:val="0"/>
          <w:numId w:val="30"/>
        </w:numPr>
        <w:ind w:firstLineChars="0"/>
        <w:jc w:val="both"/>
        <w:rPr>
          <w:lang w:val="en-US"/>
        </w:rPr>
      </w:pPr>
      <w:r w:rsidRPr="000135E5">
        <w:rPr>
          <w:u w:val="single"/>
          <w:lang w:val="en-US"/>
        </w:rPr>
        <w:t>scenario</w:t>
      </w:r>
      <w:r w:rsidR="00660546" w:rsidRPr="000135E5">
        <w:rPr>
          <w:u w:val="single"/>
          <w:lang w:val="en-US"/>
        </w:rPr>
        <w:t xml:space="preserve"> 1</w:t>
      </w:r>
      <w:r w:rsidR="00660546" w:rsidRPr="004F7FFE">
        <w:rPr>
          <w:lang w:val="en-US"/>
        </w:rPr>
        <w:t xml:space="preserve">: UE </w:t>
      </w:r>
      <w:r w:rsidR="00226648" w:rsidRPr="004F7FFE">
        <w:rPr>
          <w:lang w:val="en-US"/>
        </w:rPr>
        <w:t>uses same TEG for RxTx measurement.</w:t>
      </w:r>
    </w:p>
    <w:p w14:paraId="08647016" w14:textId="0857D706" w:rsidR="00A643DA" w:rsidRPr="004F7FFE" w:rsidRDefault="004F7FFE" w:rsidP="004F7FFE">
      <w:pPr>
        <w:pStyle w:val="ListParagraph"/>
        <w:numPr>
          <w:ilvl w:val="0"/>
          <w:numId w:val="30"/>
        </w:numPr>
        <w:ind w:firstLineChars="0"/>
        <w:jc w:val="both"/>
        <w:rPr>
          <w:lang w:val="en-US"/>
        </w:rPr>
      </w:pPr>
      <w:r w:rsidRPr="000135E5">
        <w:rPr>
          <w:u w:val="single"/>
          <w:lang w:val="en-US"/>
        </w:rPr>
        <w:t>scenario</w:t>
      </w:r>
      <w:r w:rsidR="00660546" w:rsidRPr="000135E5">
        <w:rPr>
          <w:u w:val="single"/>
          <w:lang w:val="en-US"/>
        </w:rPr>
        <w:t xml:space="preserve"> 2</w:t>
      </w:r>
      <w:r w:rsidR="00660546" w:rsidRPr="004F7FFE">
        <w:rPr>
          <w:lang w:val="en-US"/>
        </w:rPr>
        <w:t>:</w:t>
      </w:r>
      <w:r w:rsidR="00226648" w:rsidRPr="004F7FFE">
        <w:rPr>
          <w:lang w:val="en-US"/>
        </w:rPr>
        <w:t xml:space="preserve"> UE uses different TEGs for</w:t>
      </w:r>
      <w:r w:rsidR="000A4494" w:rsidRPr="004F7FFE">
        <w:rPr>
          <w:lang w:val="en-US"/>
        </w:rPr>
        <w:t xml:space="preserve"> Rx and Tx part of the</w:t>
      </w:r>
      <w:r w:rsidR="00226648" w:rsidRPr="004F7FFE">
        <w:rPr>
          <w:lang w:val="en-US"/>
        </w:rPr>
        <w:t xml:space="preserve"> RxTx measurement.</w:t>
      </w:r>
    </w:p>
    <w:p w14:paraId="3307857D" w14:textId="5D244702" w:rsidR="00755D47" w:rsidRDefault="00755D47" w:rsidP="00A643DA">
      <w:pPr>
        <w:rPr>
          <w:lang w:val="en-US"/>
        </w:rPr>
      </w:pPr>
      <w:r w:rsidRPr="00AE6C51">
        <w:rPr>
          <w:b/>
          <w:bCs/>
          <w:u w:val="single"/>
          <w:lang w:val="en-US"/>
        </w:rPr>
        <w:t>Proposal #</w:t>
      </w:r>
      <w:r w:rsidR="00991859">
        <w:rPr>
          <w:b/>
          <w:bCs/>
          <w:u w:val="single"/>
          <w:lang w:val="en-US"/>
        </w:rPr>
        <w:t>8</w:t>
      </w:r>
      <w:r>
        <w:rPr>
          <w:lang w:val="en-US"/>
        </w:rPr>
        <w:t xml:space="preserve">: Introduce measurement accuracy requirements for </w:t>
      </w:r>
      <w:r w:rsidR="00A421E0">
        <w:rPr>
          <w:lang w:val="en-US"/>
        </w:rPr>
        <w:t>RxTx measurement when same TEG is used for Rx and Tx measurement.</w:t>
      </w:r>
    </w:p>
    <w:p w14:paraId="104EADAB" w14:textId="4734852C" w:rsidR="00B40885" w:rsidRDefault="00A421E0" w:rsidP="00B40885">
      <w:pPr>
        <w:rPr>
          <w:lang w:val="en-US"/>
        </w:rPr>
      </w:pPr>
      <w:r w:rsidRPr="00AE6C51">
        <w:rPr>
          <w:b/>
          <w:bCs/>
          <w:u w:val="single"/>
          <w:lang w:val="en-US"/>
        </w:rPr>
        <w:t>Proposal #</w:t>
      </w:r>
      <w:r w:rsidR="00991859">
        <w:rPr>
          <w:b/>
          <w:bCs/>
          <w:u w:val="single"/>
          <w:lang w:val="en-US"/>
        </w:rPr>
        <w:t>9</w:t>
      </w:r>
      <w:r>
        <w:rPr>
          <w:lang w:val="en-US"/>
        </w:rPr>
        <w:t>:</w:t>
      </w:r>
      <w:r w:rsidR="00AE6C51">
        <w:rPr>
          <w:lang w:val="en-US"/>
        </w:rPr>
        <w:t xml:space="preserve"> Introduce measurement accuracy requirements for RxTx measurement when different TEG is used for Rx and Tx measurement.</w:t>
      </w:r>
    </w:p>
    <w:p w14:paraId="52B21B29" w14:textId="75872D73" w:rsidR="0077010C" w:rsidRDefault="0077010C" w:rsidP="00B40885">
      <w:pPr>
        <w:rPr>
          <w:lang w:val="en-US"/>
        </w:rPr>
      </w:pPr>
      <w:r>
        <w:rPr>
          <w:lang w:val="en-US"/>
        </w:rPr>
        <w:t>Moreover, when UE has multiple RxTx TEGs, measurement reporting</w:t>
      </w:r>
      <w:r w:rsidR="00D26C05">
        <w:rPr>
          <w:lang w:val="en-US"/>
        </w:rPr>
        <w:t xml:space="preserve"> rules/</w:t>
      </w:r>
      <w:r>
        <w:rPr>
          <w:lang w:val="en-US"/>
        </w:rPr>
        <w:t xml:space="preserve">conditions </w:t>
      </w:r>
      <w:proofErr w:type="gramStart"/>
      <w:r>
        <w:rPr>
          <w:lang w:val="en-US"/>
        </w:rPr>
        <w:t>similar to</w:t>
      </w:r>
      <w:proofErr w:type="gramEnd"/>
      <w:r>
        <w:rPr>
          <w:lang w:val="en-US"/>
        </w:rPr>
        <w:t xml:space="preserve"> RSTD measurements shall be defined.</w:t>
      </w:r>
    </w:p>
    <w:p w14:paraId="4CA3CA4C" w14:textId="3EC31B10" w:rsidR="0077010C" w:rsidRPr="00B40885" w:rsidRDefault="0077010C" w:rsidP="00B40885">
      <w:pPr>
        <w:rPr>
          <w:lang w:val="en-US" w:eastAsia="zh-CN"/>
        </w:rPr>
      </w:pPr>
      <w:r w:rsidRPr="009A03B0">
        <w:rPr>
          <w:b/>
          <w:bCs/>
          <w:u w:val="single"/>
          <w:lang w:val="en-US"/>
        </w:rPr>
        <w:t>Proposal #</w:t>
      </w:r>
      <w:r w:rsidR="001F1E0F">
        <w:rPr>
          <w:b/>
          <w:bCs/>
          <w:u w:val="single"/>
          <w:lang w:val="en-US"/>
        </w:rPr>
        <w:t>1</w:t>
      </w:r>
      <w:r w:rsidR="00991859">
        <w:rPr>
          <w:b/>
          <w:bCs/>
          <w:u w:val="single"/>
          <w:lang w:val="en-US"/>
        </w:rPr>
        <w:t>0</w:t>
      </w:r>
      <w:r>
        <w:rPr>
          <w:lang w:val="en-US"/>
        </w:rPr>
        <w:t xml:space="preserve">: Support </w:t>
      </w:r>
      <w:r>
        <w:rPr>
          <w:rFonts w:cs="Arial"/>
          <w:iCs/>
        </w:rPr>
        <w:t>m</w:t>
      </w:r>
      <w:r w:rsidRPr="00073F78">
        <w:rPr>
          <w:rFonts w:cs="Arial"/>
          <w:iCs/>
        </w:rPr>
        <w:t>easurement reporting rules</w:t>
      </w:r>
      <w:r>
        <w:rPr>
          <w:rFonts w:cs="Arial"/>
          <w:iCs/>
        </w:rPr>
        <w:t>/conditions</w:t>
      </w:r>
      <w:r w:rsidRPr="00073F78">
        <w:rPr>
          <w:rFonts w:cs="Arial"/>
          <w:iCs/>
        </w:rPr>
        <w:t xml:space="preserve"> </w:t>
      </w:r>
      <w:r>
        <w:rPr>
          <w:rFonts w:cs="Arial"/>
          <w:iCs/>
        </w:rPr>
        <w:t xml:space="preserve">for </w:t>
      </w:r>
      <w:r w:rsidR="00D26C05">
        <w:rPr>
          <w:rFonts w:cs="Arial"/>
          <w:iCs/>
        </w:rPr>
        <w:t xml:space="preserve">absolute and differential </w:t>
      </w:r>
      <w:r>
        <w:rPr>
          <w:rFonts w:cs="Arial"/>
          <w:iCs/>
        </w:rPr>
        <w:t xml:space="preserve">UE Rx-Tx measurement </w:t>
      </w:r>
      <w:proofErr w:type="gramStart"/>
      <w:r>
        <w:rPr>
          <w:rFonts w:cs="Arial"/>
          <w:iCs/>
        </w:rPr>
        <w:t>similar to</w:t>
      </w:r>
      <w:proofErr w:type="gramEnd"/>
      <w:r>
        <w:rPr>
          <w:rFonts w:cs="Arial"/>
          <w:iCs/>
        </w:rPr>
        <w:t xml:space="preserve"> </w:t>
      </w:r>
      <w:r w:rsidR="00D26C05">
        <w:rPr>
          <w:rFonts w:cs="Arial"/>
          <w:iCs/>
        </w:rPr>
        <w:t xml:space="preserve">absolute and differential </w:t>
      </w:r>
      <w:r>
        <w:rPr>
          <w:rFonts w:cs="Arial"/>
          <w:iCs/>
        </w:rPr>
        <w:t>RSTD measurement reporting rules</w:t>
      </w:r>
      <w:r w:rsidR="009A03B0">
        <w:rPr>
          <w:rFonts w:cs="Arial"/>
          <w:iCs/>
        </w:rPr>
        <w:t>/conditions</w:t>
      </w:r>
      <w:r>
        <w:rPr>
          <w:rFonts w:cs="Arial"/>
          <w:iCs/>
        </w:rPr>
        <w:t>.</w:t>
      </w:r>
    </w:p>
    <w:p w14:paraId="609286E5" w14:textId="6E20E7A5" w:rsidR="00E80B52" w:rsidRPr="001E410F" w:rsidRDefault="00C53B74" w:rsidP="00805BE8">
      <w:pPr>
        <w:pStyle w:val="Heading1"/>
        <w:rPr>
          <w:lang w:val="en-US" w:eastAsia="ja-JP"/>
        </w:rPr>
      </w:pPr>
      <w:r w:rsidRPr="001E410F">
        <w:rPr>
          <w:lang w:val="en-US" w:eastAsia="ja-JP"/>
        </w:rPr>
        <w:t>Summary</w:t>
      </w:r>
    </w:p>
    <w:p w14:paraId="0D62F996" w14:textId="6A7C81DF" w:rsidR="00C53B74" w:rsidRDefault="00D26C05" w:rsidP="00C53B74">
      <w:pPr>
        <w:rPr>
          <w:lang w:val="en-US" w:eastAsia="ja-JP"/>
        </w:rPr>
      </w:pPr>
      <w:r>
        <w:rPr>
          <w:lang w:val="en-US" w:eastAsia="ja-JP"/>
        </w:rPr>
        <w:t>In this paper we evaluated different aspects of TEG impact on accuracy requirement. Based on the evaluation following</w:t>
      </w:r>
      <w:r w:rsidR="00FA5138">
        <w:rPr>
          <w:lang w:val="en-US" w:eastAsia="ja-JP"/>
        </w:rPr>
        <w:t xml:space="preserve"> are proposed for agreement:</w:t>
      </w:r>
    </w:p>
    <w:p w14:paraId="710EC60B" w14:textId="77777777" w:rsidR="001F1E0F" w:rsidRDefault="001F1E0F" w:rsidP="001F1E0F">
      <w:pPr>
        <w:rPr>
          <w:lang w:val="en-US"/>
        </w:rPr>
      </w:pPr>
      <w:r w:rsidRPr="001E410F">
        <w:rPr>
          <w:b/>
          <w:bCs/>
          <w:u w:val="single"/>
          <w:lang w:val="en-US"/>
        </w:rPr>
        <w:t>Proposal #1</w:t>
      </w:r>
      <w:r w:rsidRPr="001E410F">
        <w:rPr>
          <w:lang w:val="en-US"/>
        </w:rPr>
        <w:t>: Introduce measurement accuracy requirements for RSTD measurements for which UE Rx TEG association is same for both target and reference TRPs.</w:t>
      </w:r>
    </w:p>
    <w:p w14:paraId="5ED0818A" w14:textId="77777777" w:rsidR="001F1E0F" w:rsidRPr="00B269F3" w:rsidRDefault="001F1E0F" w:rsidP="001F1E0F">
      <w:pPr>
        <w:rPr>
          <w:rStyle w:val="IvDbodytextChar"/>
          <w:rFonts w:ascii="Times New Roman" w:eastAsia="SimSun" w:hAnsi="Times New Roman"/>
          <w:i/>
          <w:lang w:val="en-GB"/>
        </w:rPr>
      </w:pPr>
      <w:r w:rsidRPr="001E410F">
        <w:rPr>
          <w:b/>
          <w:bCs/>
          <w:u w:val="single"/>
          <w:lang w:val="en-US"/>
        </w:rPr>
        <w:t>Proposal #2</w:t>
      </w:r>
      <w:r w:rsidRPr="001E410F">
        <w:rPr>
          <w:lang w:val="en-US"/>
        </w:rPr>
        <w:t>: Introduce measurement accuracy requirements for difference between two RSTD</w:t>
      </w:r>
      <w:r>
        <w:rPr>
          <w:lang w:val="en-US"/>
        </w:rPr>
        <w:t xml:space="preserve"> measurement</w:t>
      </w:r>
      <w:r w:rsidRPr="001E410F">
        <w:rPr>
          <w:lang w:val="en-US"/>
        </w:rPr>
        <w:t>s</w:t>
      </w:r>
      <w:r>
        <w:rPr>
          <w:lang w:val="en-US"/>
        </w:rPr>
        <w:t>, where for each RSTD measurement same Rx TEG is used for both target and reference TRP.</w:t>
      </w:r>
    </w:p>
    <w:p w14:paraId="00067A8E" w14:textId="48E8AADD" w:rsidR="001F1E0F" w:rsidRDefault="001F1E0F" w:rsidP="001F1E0F">
      <w:pPr>
        <w:pStyle w:val="IvDInstructiontext"/>
        <w:rPr>
          <w:rFonts w:ascii="Times New Roman" w:hAnsi="Times New Roman"/>
          <w:i w:val="0"/>
          <w:iCs/>
          <w:color w:val="000000" w:themeColor="text1"/>
          <w:sz w:val="20"/>
        </w:rPr>
      </w:pPr>
      <w:r w:rsidRPr="00BC0396">
        <w:rPr>
          <w:rFonts w:ascii="Times New Roman" w:hAnsi="Times New Roman"/>
          <w:b/>
          <w:bCs/>
          <w:i w:val="0"/>
          <w:color w:val="000000" w:themeColor="text1"/>
          <w:sz w:val="20"/>
          <w:szCs w:val="20"/>
          <w:u w:val="single"/>
        </w:rPr>
        <w:t>Proposal #</w:t>
      </w:r>
      <w:r>
        <w:rPr>
          <w:rFonts w:ascii="Times New Roman" w:hAnsi="Times New Roman"/>
          <w:b/>
          <w:bCs/>
          <w:i w:val="0"/>
          <w:color w:val="000000" w:themeColor="text1"/>
          <w:sz w:val="20"/>
          <w:szCs w:val="20"/>
          <w:u w:val="single"/>
        </w:rPr>
        <w:t>3</w:t>
      </w:r>
      <w:r>
        <w:rPr>
          <w:rFonts w:ascii="Times New Roman" w:hAnsi="Times New Roman"/>
          <w:i w:val="0"/>
          <w:color w:val="000000" w:themeColor="text1"/>
          <w:sz w:val="20"/>
          <w:szCs w:val="20"/>
        </w:rPr>
        <w:t xml:space="preserve">: </w:t>
      </w:r>
      <w:r w:rsidRPr="00D55AB3">
        <w:rPr>
          <w:rFonts w:ascii="Times New Roman" w:hAnsi="Times New Roman"/>
          <w:i w:val="0"/>
          <w:iCs/>
          <w:color w:val="000000" w:themeColor="text1"/>
          <w:sz w:val="20"/>
        </w:rPr>
        <w:t xml:space="preserve">The UE shall report RSTD provided that the magnitude of difference between timing error margins of the two TEGs used for RSTD is below </w:t>
      </w:r>
      <w:r w:rsidR="00F07AB0" w:rsidRPr="00AC71E2">
        <w:rPr>
          <w:rFonts w:ascii="Times New Roman" w:hAnsi="Times New Roman"/>
          <w:i w:val="0"/>
          <w:iCs/>
          <w:color w:val="000000" w:themeColor="text1"/>
          <w:sz w:val="20"/>
        </w:rPr>
        <w:t xml:space="preserve">X </w:t>
      </w:r>
      <w:r w:rsidR="00DC79A6" w:rsidRPr="00AC71E2">
        <w:rPr>
          <w:rFonts w:ascii="Times New Roman" w:hAnsi="Times New Roman"/>
          <w:i w:val="0"/>
          <w:iCs/>
          <w:color w:val="000000" w:themeColor="text1"/>
          <w:sz w:val="20"/>
        </w:rPr>
        <w:t>Tc</w:t>
      </w:r>
      <w:r w:rsidR="00F07AB0" w:rsidRPr="00AC71E2">
        <w:rPr>
          <w:rFonts w:ascii="Times New Roman" w:hAnsi="Times New Roman"/>
          <w:i w:val="0"/>
          <w:iCs/>
          <w:color w:val="000000" w:themeColor="text1"/>
          <w:sz w:val="20"/>
        </w:rPr>
        <w:t>; X is TBD</w:t>
      </w:r>
      <w:r>
        <w:rPr>
          <w:rFonts w:ascii="Times New Roman" w:hAnsi="Times New Roman"/>
          <w:i w:val="0"/>
          <w:iCs/>
          <w:color w:val="000000" w:themeColor="text1"/>
          <w:sz w:val="20"/>
        </w:rPr>
        <w:t>.</w:t>
      </w:r>
      <w:r w:rsidRPr="00D55AB3">
        <w:rPr>
          <w:rFonts w:ascii="Times New Roman" w:hAnsi="Times New Roman"/>
          <w:i w:val="0"/>
          <w:iCs/>
          <w:color w:val="000000" w:themeColor="text1"/>
          <w:sz w:val="20"/>
        </w:rPr>
        <w:t xml:space="preserve"> </w:t>
      </w:r>
      <w:r>
        <w:rPr>
          <w:rFonts w:ascii="Times New Roman" w:hAnsi="Times New Roman"/>
          <w:i w:val="0"/>
          <w:iCs/>
          <w:color w:val="000000" w:themeColor="text1"/>
          <w:sz w:val="20"/>
        </w:rPr>
        <w:t>O</w:t>
      </w:r>
      <w:r w:rsidRPr="00D55AB3">
        <w:rPr>
          <w:rFonts w:ascii="Times New Roman" w:hAnsi="Times New Roman"/>
          <w:i w:val="0"/>
          <w:iCs/>
          <w:color w:val="000000" w:themeColor="text1"/>
          <w:sz w:val="20"/>
        </w:rPr>
        <w:t xml:space="preserve">therwise, UE does not report </w:t>
      </w:r>
      <w:r>
        <w:rPr>
          <w:rFonts w:ascii="Times New Roman" w:hAnsi="Times New Roman"/>
          <w:i w:val="0"/>
          <w:iCs/>
          <w:color w:val="000000" w:themeColor="text1"/>
          <w:sz w:val="20"/>
        </w:rPr>
        <w:t xml:space="preserve">the </w:t>
      </w:r>
      <w:r w:rsidRPr="00D55AB3">
        <w:rPr>
          <w:rFonts w:ascii="Times New Roman" w:hAnsi="Times New Roman"/>
          <w:i w:val="0"/>
          <w:iCs/>
          <w:color w:val="000000" w:themeColor="text1"/>
          <w:sz w:val="20"/>
        </w:rPr>
        <w:t>RSTD</w:t>
      </w:r>
      <w:r>
        <w:rPr>
          <w:rFonts w:ascii="Times New Roman" w:hAnsi="Times New Roman"/>
          <w:i w:val="0"/>
          <w:iCs/>
          <w:color w:val="000000" w:themeColor="text1"/>
          <w:sz w:val="20"/>
        </w:rPr>
        <w:t xml:space="preserve"> measurement.</w:t>
      </w:r>
    </w:p>
    <w:p w14:paraId="139850E3" w14:textId="60F0C72A" w:rsidR="001F1E0F" w:rsidRDefault="001F1E0F" w:rsidP="001F1E0F">
      <w:pPr>
        <w:pStyle w:val="IvDInstructiontext"/>
        <w:rPr>
          <w:rFonts w:ascii="Times New Roman" w:hAnsi="Times New Roman"/>
          <w:i w:val="0"/>
          <w:iCs/>
          <w:color w:val="000000" w:themeColor="text1"/>
          <w:sz w:val="20"/>
        </w:rPr>
      </w:pPr>
      <w:r w:rsidRPr="00BC0396">
        <w:rPr>
          <w:rFonts w:ascii="Times New Roman" w:hAnsi="Times New Roman"/>
          <w:b/>
          <w:bCs/>
          <w:i w:val="0"/>
          <w:iCs/>
          <w:color w:val="000000" w:themeColor="text1"/>
          <w:sz w:val="20"/>
          <w:u w:val="single"/>
        </w:rPr>
        <w:t>Proposal #</w:t>
      </w:r>
      <w:r>
        <w:rPr>
          <w:rFonts w:ascii="Times New Roman" w:hAnsi="Times New Roman"/>
          <w:b/>
          <w:bCs/>
          <w:i w:val="0"/>
          <w:iCs/>
          <w:color w:val="000000" w:themeColor="text1"/>
          <w:sz w:val="20"/>
          <w:u w:val="single"/>
        </w:rPr>
        <w:t>4</w:t>
      </w:r>
      <w:r>
        <w:rPr>
          <w:rFonts w:ascii="Times New Roman" w:hAnsi="Times New Roman"/>
          <w:i w:val="0"/>
          <w:iCs/>
          <w:color w:val="000000" w:themeColor="text1"/>
          <w:sz w:val="20"/>
        </w:rPr>
        <w:t xml:space="preserve">: </w:t>
      </w:r>
      <w:r w:rsidRPr="00D55AB3">
        <w:rPr>
          <w:rFonts w:ascii="Times New Roman" w:hAnsi="Times New Roman"/>
          <w:i w:val="0"/>
          <w:iCs/>
          <w:color w:val="000000" w:themeColor="text1"/>
          <w:sz w:val="20"/>
        </w:rPr>
        <w:t>The UE shall report DIFF</w:t>
      </w:r>
      <w:r w:rsidRPr="00D55AB3">
        <w:rPr>
          <w:rFonts w:ascii="Times New Roman" w:hAnsi="Times New Roman"/>
          <w:i w:val="0"/>
          <w:iCs/>
          <w:color w:val="000000" w:themeColor="text1"/>
          <w:sz w:val="20"/>
          <w:vertAlign w:val="subscript"/>
        </w:rPr>
        <w:t>RSTD</w:t>
      </w:r>
      <w:r w:rsidRPr="00D55AB3">
        <w:rPr>
          <w:rFonts w:ascii="Times New Roman" w:hAnsi="Times New Roman"/>
          <w:i w:val="0"/>
          <w:iCs/>
          <w:color w:val="000000" w:themeColor="text1"/>
          <w:sz w:val="20"/>
        </w:rPr>
        <w:t xml:space="preserve"> provided that the magnitude of difference between timing error margins of the two TEGs used for the two RSTD measurements is below </w:t>
      </w:r>
      <w:r w:rsidR="00F07AB0">
        <w:rPr>
          <w:rFonts w:ascii="Times New Roman" w:hAnsi="Times New Roman"/>
          <w:i w:val="0"/>
          <w:iCs/>
          <w:color w:val="000000" w:themeColor="text1"/>
          <w:sz w:val="20"/>
        </w:rPr>
        <w:t xml:space="preserve">X </w:t>
      </w:r>
      <w:r w:rsidR="00DC79A6">
        <w:rPr>
          <w:rFonts w:ascii="Times New Roman" w:hAnsi="Times New Roman"/>
          <w:i w:val="0"/>
          <w:iCs/>
          <w:color w:val="000000" w:themeColor="text1"/>
          <w:sz w:val="20"/>
        </w:rPr>
        <w:t>Tc</w:t>
      </w:r>
      <w:r w:rsidR="00F07AB0">
        <w:rPr>
          <w:rFonts w:ascii="Times New Roman" w:hAnsi="Times New Roman"/>
          <w:i w:val="0"/>
          <w:iCs/>
          <w:color w:val="000000" w:themeColor="text1"/>
          <w:sz w:val="20"/>
        </w:rPr>
        <w:t>; X is TBD</w:t>
      </w:r>
      <w:r>
        <w:rPr>
          <w:rFonts w:ascii="Times New Roman" w:hAnsi="Times New Roman"/>
          <w:i w:val="0"/>
          <w:iCs/>
          <w:color w:val="000000" w:themeColor="text1"/>
          <w:sz w:val="20"/>
        </w:rPr>
        <w:t>.</w:t>
      </w:r>
      <w:r w:rsidRPr="00D55AB3">
        <w:rPr>
          <w:rFonts w:ascii="Times New Roman" w:hAnsi="Times New Roman"/>
          <w:i w:val="0"/>
          <w:iCs/>
          <w:color w:val="000000" w:themeColor="text1"/>
          <w:sz w:val="20"/>
        </w:rPr>
        <w:t xml:space="preserve"> </w:t>
      </w:r>
      <w:r>
        <w:rPr>
          <w:rFonts w:ascii="Times New Roman" w:hAnsi="Times New Roman"/>
          <w:i w:val="0"/>
          <w:iCs/>
          <w:color w:val="000000" w:themeColor="text1"/>
          <w:sz w:val="20"/>
        </w:rPr>
        <w:t>O</w:t>
      </w:r>
      <w:r w:rsidRPr="00D55AB3">
        <w:rPr>
          <w:rFonts w:ascii="Times New Roman" w:hAnsi="Times New Roman"/>
          <w:i w:val="0"/>
          <w:iCs/>
          <w:color w:val="000000" w:themeColor="text1"/>
          <w:sz w:val="20"/>
        </w:rPr>
        <w:t>therwise, UE does not report the measurement</w:t>
      </w:r>
      <w:r>
        <w:rPr>
          <w:rFonts w:ascii="Times New Roman" w:hAnsi="Times New Roman"/>
          <w:i w:val="0"/>
          <w:iCs/>
          <w:color w:val="000000" w:themeColor="text1"/>
          <w:sz w:val="20"/>
        </w:rPr>
        <w:t>.</w:t>
      </w:r>
    </w:p>
    <w:p w14:paraId="5563C9E4" w14:textId="4B5610D1" w:rsidR="001F1E0F" w:rsidRDefault="001F1E0F" w:rsidP="001F1E0F">
      <w:pPr>
        <w:pStyle w:val="IvDInstructiontext"/>
        <w:rPr>
          <w:rFonts w:ascii="Times New Roman" w:hAnsi="Times New Roman"/>
          <w:i w:val="0"/>
          <w:iCs/>
          <w:color w:val="000000" w:themeColor="text1"/>
          <w:sz w:val="20"/>
        </w:rPr>
      </w:pPr>
      <w:r w:rsidRPr="00BC0396">
        <w:rPr>
          <w:rFonts w:ascii="Times New Roman" w:hAnsi="Times New Roman"/>
          <w:b/>
          <w:bCs/>
          <w:i w:val="0"/>
          <w:iCs/>
          <w:color w:val="000000" w:themeColor="text1"/>
          <w:sz w:val="20"/>
          <w:u w:val="single"/>
        </w:rPr>
        <w:t>Proposal #</w:t>
      </w:r>
      <w:r>
        <w:rPr>
          <w:rFonts w:ascii="Times New Roman" w:hAnsi="Times New Roman"/>
          <w:b/>
          <w:bCs/>
          <w:i w:val="0"/>
          <w:iCs/>
          <w:color w:val="000000" w:themeColor="text1"/>
          <w:sz w:val="20"/>
          <w:u w:val="single"/>
        </w:rPr>
        <w:t>5</w:t>
      </w:r>
      <w:r>
        <w:rPr>
          <w:rFonts w:ascii="Times New Roman" w:hAnsi="Times New Roman"/>
          <w:i w:val="0"/>
          <w:iCs/>
          <w:color w:val="000000" w:themeColor="text1"/>
          <w:sz w:val="20"/>
        </w:rPr>
        <w:t xml:space="preserve">: </w:t>
      </w:r>
      <w:r w:rsidRPr="00D55AB3">
        <w:rPr>
          <w:rFonts w:ascii="Times New Roman" w:hAnsi="Times New Roman"/>
          <w:i w:val="0"/>
          <w:iCs/>
          <w:color w:val="000000" w:themeColor="text1"/>
          <w:sz w:val="20"/>
        </w:rPr>
        <w:t>The UE shall report DIFF</w:t>
      </w:r>
      <w:r w:rsidRPr="00D55AB3">
        <w:rPr>
          <w:rFonts w:ascii="Times New Roman" w:hAnsi="Times New Roman"/>
          <w:i w:val="0"/>
          <w:iCs/>
          <w:color w:val="000000" w:themeColor="text1"/>
          <w:sz w:val="20"/>
          <w:vertAlign w:val="subscript"/>
        </w:rPr>
        <w:t>RSTD</w:t>
      </w:r>
      <w:r w:rsidRPr="00D55AB3">
        <w:rPr>
          <w:rFonts w:ascii="Times New Roman" w:hAnsi="Times New Roman"/>
          <w:i w:val="0"/>
          <w:iCs/>
          <w:color w:val="000000" w:themeColor="text1"/>
          <w:sz w:val="20"/>
        </w:rPr>
        <w:t xml:space="preserve"> provided that the magnitude of difference between timing error margins of </w:t>
      </w:r>
      <w:r w:rsidR="007572E3">
        <w:rPr>
          <w:rFonts w:ascii="Times New Roman" w:hAnsi="Times New Roman"/>
          <w:i w:val="0"/>
          <w:iCs/>
          <w:color w:val="000000" w:themeColor="text1"/>
          <w:sz w:val="20"/>
        </w:rPr>
        <w:t>any</w:t>
      </w:r>
      <w:r w:rsidRPr="00D55AB3">
        <w:rPr>
          <w:rFonts w:ascii="Times New Roman" w:hAnsi="Times New Roman"/>
          <w:i w:val="0"/>
          <w:iCs/>
          <w:color w:val="000000" w:themeColor="text1"/>
          <w:sz w:val="20"/>
        </w:rPr>
        <w:t xml:space="preserve"> two TEGs used for the two RSTD measurements is below </w:t>
      </w:r>
      <w:r w:rsidR="00BB342F">
        <w:rPr>
          <w:rFonts w:ascii="Times New Roman" w:hAnsi="Times New Roman"/>
          <w:i w:val="0"/>
          <w:iCs/>
          <w:color w:val="000000" w:themeColor="text1"/>
          <w:sz w:val="20"/>
        </w:rPr>
        <w:t xml:space="preserve">X </w:t>
      </w:r>
      <w:r w:rsidR="00DC79A6">
        <w:rPr>
          <w:rFonts w:ascii="Times New Roman" w:hAnsi="Times New Roman"/>
          <w:i w:val="0"/>
          <w:iCs/>
          <w:color w:val="000000" w:themeColor="text1"/>
          <w:sz w:val="20"/>
        </w:rPr>
        <w:t>Tc</w:t>
      </w:r>
      <w:r w:rsidR="00BB342F">
        <w:rPr>
          <w:rFonts w:ascii="Times New Roman" w:hAnsi="Times New Roman"/>
          <w:i w:val="0"/>
          <w:iCs/>
          <w:color w:val="000000" w:themeColor="text1"/>
          <w:sz w:val="20"/>
        </w:rPr>
        <w:t>; X is TBD</w:t>
      </w:r>
      <w:r>
        <w:rPr>
          <w:rFonts w:ascii="Times New Roman" w:hAnsi="Times New Roman"/>
          <w:i w:val="0"/>
          <w:iCs/>
          <w:color w:val="000000" w:themeColor="text1"/>
          <w:sz w:val="20"/>
        </w:rPr>
        <w:t>.</w:t>
      </w:r>
      <w:r w:rsidRPr="00D55AB3">
        <w:rPr>
          <w:rFonts w:ascii="Times New Roman" w:hAnsi="Times New Roman"/>
          <w:i w:val="0"/>
          <w:iCs/>
          <w:color w:val="000000" w:themeColor="text1"/>
          <w:sz w:val="20"/>
        </w:rPr>
        <w:t xml:space="preserve"> </w:t>
      </w:r>
      <w:r>
        <w:rPr>
          <w:rFonts w:ascii="Times New Roman" w:hAnsi="Times New Roman"/>
          <w:i w:val="0"/>
          <w:iCs/>
          <w:color w:val="000000" w:themeColor="text1"/>
          <w:sz w:val="20"/>
        </w:rPr>
        <w:t>O</w:t>
      </w:r>
      <w:r w:rsidRPr="00D55AB3">
        <w:rPr>
          <w:rFonts w:ascii="Times New Roman" w:hAnsi="Times New Roman"/>
          <w:i w:val="0"/>
          <w:iCs/>
          <w:color w:val="000000" w:themeColor="text1"/>
          <w:sz w:val="20"/>
        </w:rPr>
        <w:t>therwise</w:t>
      </w:r>
      <w:r>
        <w:rPr>
          <w:rFonts w:ascii="Times New Roman" w:hAnsi="Times New Roman"/>
          <w:i w:val="0"/>
          <w:iCs/>
          <w:color w:val="000000" w:themeColor="text1"/>
          <w:sz w:val="20"/>
        </w:rPr>
        <w:t>,</w:t>
      </w:r>
      <w:r w:rsidRPr="00D55AB3">
        <w:rPr>
          <w:rFonts w:ascii="Times New Roman" w:hAnsi="Times New Roman"/>
          <w:i w:val="0"/>
          <w:iCs/>
          <w:color w:val="000000" w:themeColor="text1"/>
          <w:sz w:val="20"/>
        </w:rPr>
        <w:t xml:space="preserve"> UE does not report the measurement</w:t>
      </w:r>
      <w:r>
        <w:rPr>
          <w:rFonts w:ascii="Times New Roman" w:hAnsi="Times New Roman"/>
          <w:i w:val="0"/>
          <w:iCs/>
          <w:color w:val="000000" w:themeColor="text1"/>
          <w:sz w:val="20"/>
        </w:rPr>
        <w:t>.</w:t>
      </w:r>
    </w:p>
    <w:p w14:paraId="22CB17AB" w14:textId="77777777" w:rsidR="001F1E0F" w:rsidRDefault="001F1E0F" w:rsidP="001F1E0F">
      <w:pPr>
        <w:rPr>
          <w:b/>
          <w:bCs/>
          <w:u w:val="single"/>
          <w:lang w:val="en-US"/>
        </w:rPr>
      </w:pPr>
    </w:p>
    <w:p w14:paraId="6457BB2F" w14:textId="2BF4D9A6" w:rsidR="001F1E0F" w:rsidRPr="001E410F" w:rsidRDefault="001F1E0F" w:rsidP="001F1E0F">
      <w:pPr>
        <w:rPr>
          <w:lang w:val="en-US"/>
        </w:rPr>
      </w:pPr>
      <w:r w:rsidRPr="00764067">
        <w:rPr>
          <w:b/>
          <w:bCs/>
          <w:u w:val="single"/>
          <w:lang w:val="en-US"/>
        </w:rPr>
        <w:t>Proposal #</w:t>
      </w:r>
      <w:r w:rsidR="00991859">
        <w:rPr>
          <w:b/>
          <w:bCs/>
          <w:u w:val="single"/>
          <w:lang w:val="en-US"/>
        </w:rPr>
        <w:t>6</w:t>
      </w:r>
      <w:r>
        <w:rPr>
          <w:lang w:val="en-US"/>
        </w:rPr>
        <w:t>: Rel. 16 measurement accuracy applies to UEs not supporting multiple Rx TEGs.</w:t>
      </w:r>
    </w:p>
    <w:p w14:paraId="14B4DF88" w14:textId="3EB11D4E" w:rsidR="001F1E0F" w:rsidRDefault="001F1E0F" w:rsidP="001F1E0F">
      <w:pPr>
        <w:rPr>
          <w:lang w:val="en-US"/>
        </w:rPr>
      </w:pPr>
      <w:r w:rsidRPr="001E410F">
        <w:rPr>
          <w:b/>
          <w:bCs/>
          <w:u w:val="single"/>
          <w:lang w:val="en-US"/>
        </w:rPr>
        <w:t xml:space="preserve">Proposal </w:t>
      </w:r>
      <w:r>
        <w:rPr>
          <w:b/>
          <w:bCs/>
          <w:u w:val="single"/>
          <w:lang w:val="en-US"/>
        </w:rPr>
        <w:t>#</w:t>
      </w:r>
      <w:r w:rsidR="00991859">
        <w:rPr>
          <w:b/>
          <w:bCs/>
          <w:u w:val="single"/>
          <w:lang w:val="en-US"/>
        </w:rPr>
        <w:t>7</w:t>
      </w:r>
      <w:r w:rsidRPr="001E410F">
        <w:rPr>
          <w:lang w:val="en-US"/>
        </w:rPr>
        <w:t>: Introduce measurement accuracy requirements for timing difference between SRS transmissions performed with same or different UE Tx TEGs.</w:t>
      </w:r>
    </w:p>
    <w:p w14:paraId="79F015A2" w14:textId="35A1FAA4" w:rsidR="001F1E0F" w:rsidRDefault="001F1E0F" w:rsidP="001F1E0F">
      <w:pPr>
        <w:rPr>
          <w:lang w:val="en-US"/>
        </w:rPr>
      </w:pPr>
      <w:r w:rsidRPr="00AE6C51">
        <w:rPr>
          <w:b/>
          <w:bCs/>
          <w:u w:val="single"/>
          <w:lang w:val="en-US"/>
        </w:rPr>
        <w:t>Proposal #</w:t>
      </w:r>
      <w:r w:rsidR="00991859">
        <w:rPr>
          <w:b/>
          <w:bCs/>
          <w:u w:val="single"/>
          <w:lang w:val="en-US"/>
        </w:rPr>
        <w:t>8</w:t>
      </w:r>
      <w:r>
        <w:rPr>
          <w:lang w:val="en-US"/>
        </w:rPr>
        <w:t>: Introduce measurement accuracy requirements for RxTx measurement when same TEG is used for Rx and Tx measurement.</w:t>
      </w:r>
    </w:p>
    <w:p w14:paraId="0A7ACEA8" w14:textId="7CCF7048" w:rsidR="001F1E0F" w:rsidRDefault="001F1E0F" w:rsidP="001F1E0F">
      <w:pPr>
        <w:rPr>
          <w:lang w:val="en-US"/>
        </w:rPr>
      </w:pPr>
      <w:r w:rsidRPr="00AE6C51">
        <w:rPr>
          <w:b/>
          <w:bCs/>
          <w:u w:val="single"/>
          <w:lang w:val="en-US"/>
        </w:rPr>
        <w:t>Proposal #</w:t>
      </w:r>
      <w:r w:rsidR="00991859">
        <w:rPr>
          <w:b/>
          <w:bCs/>
          <w:u w:val="single"/>
          <w:lang w:val="en-US"/>
        </w:rPr>
        <w:t>9</w:t>
      </w:r>
      <w:r>
        <w:rPr>
          <w:lang w:val="en-US"/>
        </w:rPr>
        <w:t>: Introduce measurement accuracy requirements for RxTx measurement when different TEG is used for Rx and Tx measurement.</w:t>
      </w:r>
    </w:p>
    <w:p w14:paraId="458F3ACD" w14:textId="2E3BB954" w:rsidR="00FA5138" w:rsidRPr="001F1E0F" w:rsidRDefault="001F1E0F" w:rsidP="00C53B74">
      <w:pPr>
        <w:rPr>
          <w:lang w:eastAsia="zh-CN"/>
        </w:rPr>
      </w:pPr>
      <w:r w:rsidRPr="009A03B0">
        <w:rPr>
          <w:b/>
          <w:bCs/>
          <w:u w:val="single"/>
          <w:lang w:val="en-US"/>
        </w:rPr>
        <w:t>Proposal #</w:t>
      </w:r>
      <w:r>
        <w:rPr>
          <w:b/>
          <w:bCs/>
          <w:u w:val="single"/>
          <w:lang w:val="en-US"/>
        </w:rPr>
        <w:t>1</w:t>
      </w:r>
      <w:r w:rsidR="00991859">
        <w:rPr>
          <w:b/>
          <w:bCs/>
          <w:u w:val="single"/>
          <w:lang w:val="en-US"/>
        </w:rPr>
        <w:t>0</w:t>
      </w:r>
      <w:r>
        <w:rPr>
          <w:lang w:val="en-US"/>
        </w:rPr>
        <w:t xml:space="preserve">: Support </w:t>
      </w:r>
      <w:r>
        <w:rPr>
          <w:rFonts w:cs="Arial"/>
          <w:iCs/>
        </w:rPr>
        <w:t>m</w:t>
      </w:r>
      <w:r w:rsidRPr="00073F78">
        <w:rPr>
          <w:rFonts w:cs="Arial"/>
          <w:iCs/>
        </w:rPr>
        <w:t>easurement reporting rules</w:t>
      </w:r>
      <w:r>
        <w:rPr>
          <w:rFonts w:cs="Arial"/>
          <w:iCs/>
        </w:rPr>
        <w:t>/conditions</w:t>
      </w:r>
      <w:r w:rsidRPr="00073F78">
        <w:rPr>
          <w:rFonts w:cs="Arial"/>
          <w:iCs/>
        </w:rPr>
        <w:t xml:space="preserve"> </w:t>
      </w:r>
      <w:r>
        <w:rPr>
          <w:rFonts w:cs="Arial"/>
          <w:iCs/>
        </w:rPr>
        <w:t xml:space="preserve">for absolute and differential UE Rx-Tx measurement </w:t>
      </w:r>
      <w:proofErr w:type="gramStart"/>
      <w:r>
        <w:rPr>
          <w:rFonts w:cs="Arial"/>
          <w:iCs/>
        </w:rPr>
        <w:t>similar to</w:t>
      </w:r>
      <w:proofErr w:type="gramEnd"/>
      <w:r>
        <w:rPr>
          <w:rFonts w:cs="Arial"/>
          <w:iCs/>
        </w:rPr>
        <w:t xml:space="preserve"> absolute and differential RSTD measurement reporting rules/conditions.</w:t>
      </w:r>
    </w:p>
    <w:p w14:paraId="5EB575F1" w14:textId="77777777" w:rsidR="00166D75" w:rsidRPr="001E410F" w:rsidRDefault="00166D75" w:rsidP="009B6303">
      <w:pPr>
        <w:tabs>
          <w:tab w:val="left" w:pos="5103"/>
        </w:tabs>
        <w:spacing w:after="120"/>
        <w:ind w:left="2268" w:hanging="2268"/>
        <w:rPr>
          <w:rFonts w:ascii="Arial" w:hAnsi="Arial" w:cs="Arial"/>
          <w:bCs/>
          <w:lang w:val="en-US"/>
        </w:rPr>
      </w:pPr>
    </w:p>
    <w:p w14:paraId="095C7643" w14:textId="6552C00B" w:rsidR="009B6303" w:rsidRDefault="009B6303" w:rsidP="009B6303">
      <w:pPr>
        <w:pStyle w:val="Heading1"/>
        <w:rPr>
          <w:lang w:val="en-US"/>
        </w:rPr>
      </w:pPr>
      <w:r w:rsidRPr="001E410F">
        <w:rPr>
          <w:lang w:val="en-US"/>
        </w:rPr>
        <w:t>References</w:t>
      </w:r>
    </w:p>
    <w:p w14:paraId="53693FB2" w14:textId="25105F7B" w:rsidR="009B6303" w:rsidRDefault="009F769D" w:rsidP="009B6303">
      <w:pPr>
        <w:rPr>
          <w:lang w:val="en-US"/>
        </w:rPr>
      </w:pPr>
      <w:r>
        <w:rPr>
          <w:lang w:val="en-US"/>
        </w:rPr>
        <w:t xml:space="preserve">[1] </w:t>
      </w:r>
      <w:r w:rsidRPr="009F769D">
        <w:rPr>
          <w:lang w:val="en-US"/>
        </w:rPr>
        <w:t>R4-2206997</w:t>
      </w:r>
      <w:r>
        <w:rPr>
          <w:lang w:val="en-US"/>
        </w:rPr>
        <w:t xml:space="preserve">, </w:t>
      </w:r>
      <w:r w:rsidRPr="009F769D">
        <w:rPr>
          <w:lang w:val="en-US"/>
        </w:rPr>
        <w:t>WF on NR Positioning Enhancements (Part 2)</w:t>
      </w:r>
      <w:r w:rsidR="00D26C05">
        <w:rPr>
          <w:lang w:val="en-US"/>
        </w:rPr>
        <w:t>, CATT</w:t>
      </w:r>
      <w:r>
        <w:rPr>
          <w:lang w:val="en-US"/>
        </w:rPr>
        <w:t>.</w:t>
      </w:r>
    </w:p>
    <w:p w14:paraId="20BB2B37" w14:textId="77777777" w:rsidR="00D27676" w:rsidRPr="00D27676" w:rsidRDefault="00D27676" w:rsidP="00D27676">
      <w:pPr>
        <w:rPr>
          <w:lang w:val="en-US"/>
        </w:rPr>
      </w:pPr>
    </w:p>
    <w:sectPr w:rsidR="00D27676" w:rsidRPr="00D27676"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92A93" w14:textId="77777777" w:rsidR="00B473D9" w:rsidRDefault="00B473D9">
      <w:r>
        <w:separator/>
      </w:r>
    </w:p>
  </w:endnote>
  <w:endnote w:type="continuationSeparator" w:id="0">
    <w:p w14:paraId="132D0C45" w14:textId="77777777" w:rsidR="00B473D9" w:rsidRDefault="00B473D9">
      <w:r>
        <w:continuationSeparator/>
      </w:r>
    </w:p>
  </w:endnote>
  <w:endnote w:type="continuationNotice" w:id="1">
    <w:p w14:paraId="25F9A8D8" w14:textId="77777777" w:rsidR="000F6162" w:rsidRDefault="000F61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48EB4" w14:textId="77777777" w:rsidR="00B473D9" w:rsidRDefault="00B473D9">
      <w:r>
        <w:separator/>
      </w:r>
    </w:p>
  </w:footnote>
  <w:footnote w:type="continuationSeparator" w:id="0">
    <w:p w14:paraId="26B61BF2" w14:textId="77777777" w:rsidR="00B473D9" w:rsidRDefault="00B473D9">
      <w:r>
        <w:continuationSeparator/>
      </w:r>
    </w:p>
  </w:footnote>
  <w:footnote w:type="continuationNotice" w:id="1">
    <w:p w14:paraId="3E318837" w14:textId="77777777" w:rsidR="000F6162" w:rsidRDefault="000F616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5A5E4B"/>
    <w:multiLevelType w:val="hybridMultilevel"/>
    <w:tmpl w:val="3CAC101A"/>
    <w:lvl w:ilvl="0" w:tplc="041D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2A96C04"/>
    <w:multiLevelType w:val="hybridMultilevel"/>
    <w:tmpl w:val="AA364866"/>
    <w:lvl w:ilvl="0" w:tplc="591ABF20">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B8843A12"/>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792" w:hanging="432"/>
      </w:pPr>
      <w:rPr>
        <w:rFonts w:hint="eastAsia"/>
      </w:rPr>
    </w:lvl>
    <w:lvl w:ilvl="2">
      <w:start w:val="1"/>
      <w:numFmt w:val="decimal"/>
      <w:pStyle w:val="Heading3"/>
      <w:lvlText w:val="%1.%2.%3."/>
      <w:lvlJc w:val="left"/>
      <w:pPr>
        <w:ind w:left="1224" w:hanging="504"/>
      </w:pPr>
      <w:rPr>
        <w:rFonts w:hint="eastAsia"/>
      </w:rPr>
    </w:lvl>
    <w:lvl w:ilvl="3">
      <w:start w:val="1"/>
      <w:numFmt w:val="decimal"/>
      <w:pStyle w:val="Heading4"/>
      <w:lvlText w:val="%1.%2.%3.%4."/>
      <w:lvlJc w:val="left"/>
      <w:pPr>
        <w:ind w:left="1728" w:hanging="648"/>
      </w:pPr>
      <w:rPr>
        <w:rFonts w:hint="eastAsia"/>
      </w:rPr>
    </w:lvl>
    <w:lvl w:ilvl="4">
      <w:start w:val="1"/>
      <w:numFmt w:val="decimal"/>
      <w:pStyle w:val="Heading5"/>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pStyle w:val="Heading8"/>
      <w:lvlText w:val="%1.%2.%3.%4.%5.%6.%7.%8."/>
      <w:lvlJc w:val="left"/>
      <w:pPr>
        <w:ind w:left="3744" w:hanging="1224"/>
      </w:pPr>
      <w:rPr>
        <w:rFonts w:hint="eastAsia"/>
      </w:rPr>
    </w:lvl>
    <w:lvl w:ilvl="8">
      <w:start w:val="1"/>
      <w:numFmt w:val="decimal"/>
      <w:pStyle w:val="Heading9"/>
      <w:lvlText w:val="%1.%2.%3.%4.%5.%6.%7.%8.%9."/>
      <w:lvlJc w:val="left"/>
      <w:pPr>
        <w:ind w:left="4320" w:hanging="1440"/>
      </w:pPr>
      <w:rPr>
        <w:rFonts w:hint="eastAsia"/>
      </w:rPr>
    </w:lvl>
  </w:abstractNum>
  <w:abstractNum w:abstractNumId="11"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474866CA"/>
    <w:multiLevelType w:val="hybridMultilevel"/>
    <w:tmpl w:val="2402B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D6E3167"/>
    <w:multiLevelType w:val="multilevel"/>
    <w:tmpl w:val="11D8FDAC"/>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5101505E"/>
    <w:multiLevelType w:val="hybridMultilevel"/>
    <w:tmpl w:val="D04A52DE"/>
    <w:lvl w:ilvl="0" w:tplc="A6F8035A">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6A5A5A39"/>
    <w:multiLevelType w:val="multilevel"/>
    <w:tmpl w:val="A3EC41CA"/>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003508654">
    <w:abstractNumId w:val="0"/>
  </w:num>
  <w:num w:numId="2" w16cid:durableId="504397413">
    <w:abstractNumId w:val="8"/>
  </w:num>
  <w:num w:numId="3" w16cid:durableId="1290281058">
    <w:abstractNumId w:val="17"/>
  </w:num>
  <w:num w:numId="4" w16cid:durableId="484972732">
    <w:abstractNumId w:val="15"/>
  </w:num>
  <w:num w:numId="5" w16cid:durableId="781150029">
    <w:abstractNumId w:val="10"/>
  </w:num>
  <w:num w:numId="6" w16cid:durableId="905804595">
    <w:abstractNumId w:val="10"/>
  </w:num>
  <w:num w:numId="7" w16cid:durableId="335495351">
    <w:abstractNumId w:val="10"/>
  </w:num>
  <w:num w:numId="8" w16cid:durableId="949698341">
    <w:abstractNumId w:val="10"/>
  </w:num>
  <w:num w:numId="9" w16cid:durableId="615336773">
    <w:abstractNumId w:val="10"/>
  </w:num>
  <w:num w:numId="10" w16cid:durableId="1117218336">
    <w:abstractNumId w:val="10"/>
  </w:num>
  <w:num w:numId="11" w16cid:durableId="243993209">
    <w:abstractNumId w:val="10"/>
  </w:num>
  <w:num w:numId="12" w16cid:durableId="199516990">
    <w:abstractNumId w:val="10"/>
  </w:num>
  <w:num w:numId="13" w16cid:durableId="78337514">
    <w:abstractNumId w:val="10"/>
  </w:num>
  <w:num w:numId="14" w16cid:durableId="860167755">
    <w:abstractNumId w:val="10"/>
  </w:num>
  <w:num w:numId="15" w16cid:durableId="548304068">
    <w:abstractNumId w:val="10"/>
  </w:num>
  <w:num w:numId="16" w16cid:durableId="597904299">
    <w:abstractNumId w:val="10"/>
  </w:num>
  <w:num w:numId="17" w16cid:durableId="1905414436">
    <w:abstractNumId w:val="7"/>
  </w:num>
  <w:num w:numId="18" w16cid:durableId="2007199199">
    <w:abstractNumId w:val="3"/>
  </w:num>
  <w:num w:numId="19" w16cid:durableId="1210532794">
    <w:abstractNumId w:val="2"/>
  </w:num>
  <w:num w:numId="20" w16cid:durableId="1109200079">
    <w:abstractNumId w:val="1"/>
  </w:num>
  <w:num w:numId="21" w16cid:durableId="1040285447">
    <w:abstractNumId w:val="10"/>
  </w:num>
  <w:num w:numId="22" w16cid:durableId="165019989">
    <w:abstractNumId w:val="10"/>
  </w:num>
  <w:num w:numId="23" w16cid:durableId="1845166631">
    <w:abstractNumId w:val="9"/>
  </w:num>
  <w:num w:numId="24" w16cid:durableId="1511136305">
    <w:abstractNumId w:val="16"/>
  </w:num>
  <w:num w:numId="25" w16cid:durableId="1629973567">
    <w:abstractNumId w:val="11"/>
  </w:num>
  <w:num w:numId="26" w16cid:durableId="573900804">
    <w:abstractNumId w:val="5"/>
  </w:num>
  <w:num w:numId="27" w16cid:durableId="1304039116">
    <w:abstractNumId w:val="12"/>
  </w:num>
  <w:num w:numId="28" w16cid:durableId="327098493">
    <w:abstractNumId w:val="13"/>
  </w:num>
  <w:num w:numId="29" w16cid:durableId="180365537">
    <w:abstractNumId w:val="14"/>
  </w:num>
  <w:num w:numId="30" w16cid:durableId="1178429247">
    <w:abstractNumId w:val="4"/>
  </w:num>
  <w:num w:numId="31" w16cid:durableId="369496470">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35E5"/>
    <w:rsid w:val="00020C56"/>
    <w:rsid w:val="00020DCE"/>
    <w:rsid w:val="00026ACC"/>
    <w:rsid w:val="0003171D"/>
    <w:rsid w:val="00031C1D"/>
    <w:rsid w:val="00032362"/>
    <w:rsid w:val="000353D4"/>
    <w:rsid w:val="00035C50"/>
    <w:rsid w:val="000421CE"/>
    <w:rsid w:val="000457A1"/>
    <w:rsid w:val="00050001"/>
    <w:rsid w:val="00052041"/>
    <w:rsid w:val="0005326A"/>
    <w:rsid w:val="0006266D"/>
    <w:rsid w:val="00064CDC"/>
    <w:rsid w:val="00065506"/>
    <w:rsid w:val="0007382E"/>
    <w:rsid w:val="000766E1"/>
    <w:rsid w:val="00077FF6"/>
    <w:rsid w:val="00080D82"/>
    <w:rsid w:val="00081692"/>
    <w:rsid w:val="00082C46"/>
    <w:rsid w:val="00085A0E"/>
    <w:rsid w:val="00087548"/>
    <w:rsid w:val="00093E7E"/>
    <w:rsid w:val="000A1830"/>
    <w:rsid w:val="000A4121"/>
    <w:rsid w:val="000A4494"/>
    <w:rsid w:val="000A4AA3"/>
    <w:rsid w:val="000A550E"/>
    <w:rsid w:val="000B0960"/>
    <w:rsid w:val="000B1A55"/>
    <w:rsid w:val="000B20BB"/>
    <w:rsid w:val="000B2EF6"/>
    <w:rsid w:val="000B2FA6"/>
    <w:rsid w:val="000B4AA0"/>
    <w:rsid w:val="000C2553"/>
    <w:rsid w:val="000C38C3"/>
    <w:rsid w:val="000C4549"/>
    <w:rsid w:val="000D09FD"/>
    <w:rsid w:val="000D0FFC"/>
    <w:rsid w:val="000D19DE"/>
    <w:rsid w:val="000D44FB"/>
    <w:rsid w:val="000D574B"/>
    <w:rsid w:val="000D6CFC"/>
    <w:rsid w:val="000E537B"/>
    <w:rsid w:val="000E57D0"/>
    <w:rsid w:val="000E7858"/>
    <w:rsid w:val="000F39CA"/>
    <w:rsid w:val="000F6162"/>
    <w:rsid w:val="00107927"/>
    <w:rsid w:val="00110E26"/>
    <w:rsid w:val="00111321"/>
    <w:rsid w:val="001128E7"/>
    <w:rsid w:val="00117BD6"/>
    <w:rsid w:val="001206C2"/>
    <w:rsid w:val="001213F7"/>
    <w:rsid w:val="00121978"/>
    <w:rsid w:val="00123422"/>
    <w:rsid w:val="00124B6A"/>
    <w:rsid w:val="001258F7"/>
    <w:rsid w:val="0013199B"/>
    <w:rsid w:val="00133A27"/>
    <w:rsid w:val="00136D4C"/>
    <w:rsid w:val="00142538"/>
    <w:rsid w:val="00142BB9"/>
    <w:rsid w:val="00144F96"/>
    <w:rsid w:val="00145C21"/>
    <w:rsid w:val="00151EAC"/>
    <w:rsid w:val="00153528"/>
    <w:rsid w:val="00154E68"/>
    <w:rsid w:val="00161522"/>
    <w:rsid w:val="00162548"/>
    <w:rsid w:val="00166D75"/>
    <w:rsid w:val="00172183"/>
    <w:rsid w:val="001751AB"/>
    <w:rsid w:val="00175A3F"/>
    <w:rsid w:val="00180E09"/>
    <w:rsid w:val="00183D4C"/>
    <w:rsid w:val="00183F6D"/>
    <w:rsid w:val="0018670E"/>
    <w:rsid w:val="0019219A"/>
    <w:rsid w:val="0019445A"/>
    <w:rsid w:val="00195077"/>
    <w:rsid w:val="00197B33"/>
    <w:rsid w:val="001A033F"/>
    <w:rsid w:val="001A08AA"/>
    <w:rsid w:val="001A59CB"/>
    <w:rsid w:val="001B7991"/>
    <w:rsid w:val="001C1409"/>
    <w:rsid w:val="001C2AE6"/>
    <w:rsid w:val="001C4A89"/>
    <w:rsid w:val="001C6177"/>
    <w:rsid w:val="001D0363"/>
    <w:rsid w:val="001D12B4"/>
    <w:rsid w:val="001D5047"/>
    <w:rsid w:val="001D7D94"/>
    <w:rsid w:val="001E0A28"/>
    <w:rsid w:val="001E410F"/>
    <w:rsid w:val="001E4218"/>
    <w:rsid w:val="001E7B59"/>
    <w:rsid w:val="001F0B20"/>
    <w:rsid w:val="001F1E0F"/>
    <w:rsid w:val="00200391"/>
    <w:rsid w:val="00200A62"/>
    <w:rsid w:val="0020137D"/>
    <w:rsid w:val="002016F1"/>
    <w:rsid w:val="00203740"/>
    <w:rsid w:val="00204539"/>
    <w:rsid w:val="00206B3C"/>
    <w:rsid w:val="002138EA"/>
    <w:rsid w:val="002139EA"/>
    <w:rsid w:val="00213F84"/>
    <w:rsid w:val="00214FBD"/>
    <w:rsid w:val="00221E08"/>
    <w:rsid w:val="00222897"/>
    <w:rsid w:val="00222B0C"/>
    <w:rsid w:val="00223512"/>
    <w:rsid w:val="00226648"/>
    <w:rsid w:val="00232D88"/>
    <w:rsid w:val="00235394"/>
    <w:rsid w:val="00235577"/>
    <w:rsid w:val="002371B2"/>
    <w:rsid w:val="002432E8"/>
    <w:rsid w:val="002435CA"/>
    <w:rsid w:val="0024469F"/>
    <w:rsid w:val="00246FD9"/>
    <w:rsid w:val="00250B5B"/>
    <w:rsid w:val="002522D4"/>
    <w:rsid w:val="00252DB8"/>
    <w:rsid w:val="002537BC"/>
    <w:rsid w:val="00255C58"/>
    <w:rsid w:val="00260EC7"/>
    <w:rsid w:val="00261539"/>
    <w:rsid w:val="0026179F"/>
    <w:rsid w:val="00262635"/>
    <w:rsid w:val="002666AE"/>
    <w:rsid w:val="00274E1A"/>
    <w:rsid w:val="002775B1"/>
    <w:rsid w:val="002775B9"/>
    <w:rsid w:val="002811C4"/>
    <w:rsid w:val="00282213"/>
    <w:rsid w:val="00284016"/>
    <w:rsid w:val="002858BF"/>
    <w:rsid w:val="002939AF"/>
    <w:rsid w:val="00294491"/>
    <w:rsid w:val="00294BDE"/>
    <w:rsid w:val="002A0CED"/>
    <w:rsid w:val="002A2968"/>
    <w:rsid w:val="002A4CD0"/>
    <w:rsid w:val="002A7DA6"/>
    <w:rsid w:val="002B516C"/>
    <w:rsid w:val="002B5E1D"/>
    <w:rsid w:val="002B60C1"/>
    <w:rsid w:val="002B6A14"/>
    <w:rsid w:val="002C4B52"/>
    <w:rsid w:val="002D03E5"/>
    <w:rsid w:val="002D36EB"/>
    <w:rsid w:val="002D6BDF"/>
    <w:rsid w:val="002E2CE9"/>
    <w:rsid w:val="002E3BF7"/>
    <w:rsid w:val="002E403E"/>
    <w:rsid w:val="002E4C74"/>
    <w:rsid w:val="002E5821"/>
    <w:rsid w:val="002F158C"/>
    <w:rsid w:val="002F4093"/>
    <w:rsid w:val="002F5636"/>
    <w:rsid w:val="003022A5"/>
    <w:rsid w:val="00307E51"/>
    <w:rsid w:val="00311363"/>
    <w:rsid w:val="00315867"/>
    <w:rsid w:val="00321150"/>
    <w:rsid w:val="003260D7"/>
    <w:rsid w:val="00327B87"/>
    <w:rsid w:val="0033240E"/>
    <w:rsid w:val="00336697"/>
    <w:rsid w:val="0033765C"/>
    <w:rsid w:val="003418CB"/>
    <w:rsid w:val="00344A25"/>
    <w:rsid w:val="00355873"/>
    <w:rsid w:val="0035660F"/>
    <w:rsid w:val="003628B9"/>
    <w:rsid w:val="00362D8F"/>
    <w:rsid w:val="00366B3E"/>
    <w:rsid w:val="00367724"/>
    <w:rsid w:val="00370FD1"/>
    <w:rsid w:val="003710BA"/>
    <w:rsid w:val="003770F6"/>
    <w:rsid w:val="00383E37"/>
    <w:rsid w:val="00393042"/>
    <w:rsid w:val="00394AD5"/>
    <w:rsid w:val="0039642D"/>
    <w:rsid w:val="003A1F37"/>
    <w:rsid w:val="003A2E40"/>
    <w:rsid w:val="003B0158"/>
    <w:rsid w:val="003B3F22"/>
    <w:rsid w:val="003B40B6"/>
    <w:rsid w:val="003B56DB"/>
    <w:rsid w:val="003B755E"/>
    <w:rsid w:val="003C228E"/>
    <w:rsid w:val="003C51E7"/>
    <w:rsid w:val="003C6893"/>
    <w:rsid w:val="003C6DE2"/>
    <w:rsid w:val="003D1EFD"/>
    <w:rsid w:val="003D28BF"/>
    <w:rsid w:val="003D4215"/>
    <w:rsid w:val="003D4C47"/>
    <w:rsid w:val="003D7719"/>
    <w:rsid w:val="003E17A9"/>
    <w:rsid w:val="003E40EE"/>
    <w:rsid w:val="003F1C1B"/>
    <w:rsid w:val="003F27E1"/>
    <w:rsid w:val="003F3A2F"/>
    <w:rsid w:val="003F512B"/>
    <w:rsid w:val="00401144"/>
    <w:rsid w:val="00403918"/>
    <w:rsid w:val="00404831"/>
    <w:rsid w:val="00405E63"/>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15B7"/>
    <w:rsid w:val="0047437A"/>
    <w:rsid w:val="00480E42"/>
    <w:rsid w:val="00484C5D"/>
    <w:rsid w:val="0048543E"/>
    <w:rsid w:val="004868C1"/>
    <w:rsid w:val="0048750F"/>
    <w:rsid w:val="004A17E9"/>
    <w:rsid w:val="004A41C2"/>
    <w:rsid w:val="004A495F"/>
    <w:rsid w:val="004A7544"/>
    <w:rsid w:val="004B6B0F"/>
    <w:rsid w:val="004C54E5"/>
    <w:rsid w:val="004C7DC8"/>
    <w:rsid w:val="004D21B0"/>
    <w:rsid w:val="004D737D"/>
    <w:rsid w:val="004E2659"/>
    <w:rsid w:val="004E39EE"/>
    <w:rsid w:val="004E475C"/>
    <w:rsid w:val="004E56E0"/>
    <w:rsid w:val="004E7329"/>
    <w:rsid w:val="004F2CB0"/>
    <w:rsid w:val="004F6088"/>
    <w:rsid w:val="004F7FFE"/>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622"/>
    <w:rsid w:val="00534C89"/>
    <w:rsid w:val="00541573"/>
    <w:rsid w:val="0054348A"/>
    <w:rsid w:val="00544F2F"/>
    <w:rsid w:val="00557962"/>
    <w:rsid w:val="005646A7"/>
    <w:rsid w:val="00571777"/>
    <w:rsid w:val="00580FF5"/>
    <w:rsid w:val="0058519C"/>
    <w:rsid w:val="0059149A"/>
    <w:rsid w:val="00591BF7"/>
    <w:rsid w:val="00593DA7"/>
    <w:rsid w:val="005956EE"/>
    <w:rsid w:val="005A083E"/>
    <w:rsid w:val="005A5CCC"/>
    <w:rsid w:val="005B4802"/>
    <w:rsid w:val="005C1EA6"/>
    <w:rsid w:val="005C3845"/>
    <w:rsid w:val="005D0B99"/>
    <w:rsid w:val="005D308E"/>
    <w:rsid w:val="005D3A48"/>
    <w:rsid w:val="005D7AF8"/>
    <w:rsid w:val="005E17BF"/>
    <w:rsid w:val="005E366A"/>
    <w:rsid w:val="005F2145"/>
    <w:rsid w:val="006016E1"/>
    <w:rsid w:val="00602D27"/>
    <w:rsid w:val="00610457"/>
    <w:rsid w:val="006144A1"/>
    <w:rsid w:val="00615EBB"/>
    <w:rsid w:val="00616096"/>
    <w:rsid w:val="006160A2"/>
    <w:rsid w:val="006302AA"/>
    <w:rsid w:val="00635192"/>
    <w:rsid w:val="006363BD"/>
    <w:rsid w:val="006412DC"/>
    <w:rsid w:val="00642BC6"/>
    <w:rsid w:val="00644790"/>
    <w:rsid w:val="006501AF"/>
    <w:rsid w:val="00650DDE"/>
    <w:rsid w:val="0065505B"/>
    <w:rsid w:val="00660546"/>
    <w:rsid w:val="00662A16"/>
    <w:rsid w:val="00662CE5"/>
    <w:rsid w:val="006670AC"/>
    <w:rsid w:val="00672307"/>
    <w:rsid w:val="00673CF1"/>
    <w:rsid w:val="006808C6"/>
    <w:rsid w:val="00681B2F"/>
    <w:rsid w:val="00682668"/>
    <w:rsid w:val="00692A68"/>
    <w:rsid w:val="006956F5"/>
    <w:rsid w:val="00695D85"/>
    <w:rsid w:val="006A30A2"/>
    <w:rsid w:val="006A4FB7"/>
    <w:rsid w:val="006A6D23"/>
    <w:rsid w:val="006B25DE"/>
    <w:rsid w:val="006B5EF7"/>
    <w:rsid w:val="006C1C3B"/>
    <w:rsid w:val="006C4E43"/>
    <w:rsid w:val="006C643E"/>
    <w:rsid w:val="006D2932"/>
    <w:rsid w:val="006D3671"/>
    <w:rsid w:val="006D4176"/>
    <w:rsid w:val="006E0A73"/>
    <w:rsid w:val="006E0FEE"/>
    <w:rsid w:val="006E28F9"/>
    <w:rsid w:val="006E6C11"/>
    <w:rsid w:val="006F1E26"/>
    <w:rsid w:val="006F2CF3"/>
    <w:rsid w:val="006F7C0C"/>
    <w:rsid w:val="00700192"/>
    <w:rsid w:val="00700755"/>
    <w:rsid w:val="0070166D"/>
    <w:rsid w:val="0070646B"/>
    <w:rsid w:val="00712F25"/>
    <w:rsid w:val="007130A2"/>
    <w:rsid w:val="00715463"/>
    <w:rsid w:val="007247AC"/>
    <w:rsid w:val="00730655"/>
    <w:rsid w:val="00731D77"/>
    <w:rsid w:val="00732360"/>
    <w:rsid w:val="0073390A"/>
    <w:rsid w:val="00733C2E"/>
    <w:rsid w:val="00734E64"/>
    <w:rsid w:val="00736B37"/>
    <w:rsid w:val="00737EC9"/>
    <w:rsid w:val="00740A35"/>
    <w:rsid w:val="0074422F"/>
    <w:rsid w:val="007515CC"/>
    <w:rsid w:val="007520B4"/>
    <w:rsid w:val="00755D47"/>
    <w:rsid w:val="00757090"/>
    <w:rsid w:val="007572E3"/>
    <w:rsid w:val="00764067"/>
    <w:rsid w:val="007655D5"/>
    <w:rsid w:val="0077010C"/>
    <w:rsid w:val="007763C1"/>
    <w:rsid w:val="00777E82"/>
    <w:rsid w:val="00780605"/>
    <w:rsid w:val="00781359"/>
    <w:rsid w:val="00786921"/>
    <w:rsid w:val="007A1EAA"/>
    <w:rsid w:val="007A79FD"/>
    <w:rsid w:val="007B0B9D"/>
    <w:rsid w:val="007B26E3"/>
    <w:rsid w:val="007B4D71"/>
    <w:rsid w:val="007B4D9D"/>
    <w:rsid w:val="007B5A43"/>
    <w:rsid w:val="007B6852"/>
    <w:rsid w:val="007B709B"/>
    <w:rsid w:val="007C0244"/>
    <w:rsid w:val="007C0ACD"/>
    <w:rsid w:val="007C1343"/>
    <w:rsid w:val="007C3F5C"/>
    <w:rsid w:val="007C5EF1"/>
    <w:rsid w:val="007C7BF5"/>
    <w:rsid w:val="007D19B7"/>
    <w:rsid w:val="007D75E5"/>
    <w:rsid w:val="007D773E"/>
    <w:rsid w:val="007E066E"/>
    <w:rsid w:val="007E1356"/>
    <w:rsid w:val="007E20FC"/>
    <w:rsid w:val="007E7062"/>
    <w:rsid w:val="007F0E1E"/>
    <w:rsid w:val="007F29A7"/>
    <w:rsid w:val="008004B4"/>
    <w:rsid w:val="00805BE8"/>
    <w:rsid w:val="00812BC3"/>
    <w:rsid w:val="00816078"/>
    <w:rsid w:val="008177E3"/>
    <w:rsid w:val="00823AA9"/>
    <w:rsid w:val="008255B9"/>
    <w:rsid w:val="00825CD8"/>
    <w:rsid w:val="00827324"/>
    <w:rsid w:val="00830D2F"/>
    <w:rsid w:val="008355EA"/>
    <w:rsid w:val="00837458"/>
    <w:rsid w:val="00837AAE"/>
    <w:rsid w:val="008429AD"/>
    <w:rsid w:val="008429DB"/>
    <w:rsid w:val="00850A69"/>
    <w:rsid w:val="00850C75"/>
    <w:rsid w:val="00850E39"/>
    <w:rsid w:val="00853311"/>
    <w:rsid w:val="0085477A"/>
    <w:rsid w:val="00855107"/>
    <w:rsid w:val="00855173"/>
    <w:rsid w:val="008557D9"/>
    <w:rsid w:val="00855BF7"/>
    <w:rsid w:val="00856214"/>
    <w:rsid w:val="00862089"/>
    <w:rsid w:val="00866D5B"/>
    <w:rsid w:val="00866FF5"/>
    <w:rsid w:val="0087332D"/>
    <w:rsid w:val="00873E1F"/>
    <w:rsid w:val="00874C16"/>
    <w:rsid w:val="00886D1F"/>
    <w:rsid w:val="0088775D"/>
    <w:rsid w:val="00891EE1"/>
    <w:rsid w:val="00893987"/>
    <w:rsid w:val="008963EF"/>
    <w:rsid w:val="0089688E"/>
    <w:rsid w:val="008A1FBE"/>
    <w:rsid w:val="008B3194"/>
    <w:rsid w:val="008B5AE7"/>
    <w:rsid w:val="008C12D9"/>
    <w:rsid w:val="008C241C"/>
    <w:rsid w:val="008C60E9"/>
    <w:rsid w:val="008C6F45"/>
    <w:rsid w:val="008D1B7C"/>
    <w:rsid w:val="008D6657"/>
    <w:rsid w:val="008E1F60"/>
    <w:rsid w:val="008E307E"/>
    <w:rsid w:val="008F4DD1"/>
    <w:rsid w:val="008F6056"/>
    <w:rsid w:val="008F6724"/>
    <w:rsid w:val="008F7CFF"/>
    <w:rsid w:val="009002C7"/>
    <w:rsid w:val="009018B2"/>
    <w:rsid w:val="00902BFA"/>
    <w:rsid w:val="00902C07"/>
    <w:rsid w:val="00905804"/>
    <w:rsid w:val="00907437"/>
    <w:rsid w:val="009101E2"/>
    <w:rsid w:val="00915D73"/>
    <w:rsid w:val="00916077"/>
    <w:rsid w:val="009170A2"/>
    <w:rsid w:val="009208A6"/>
    <w:rsid w:val="00924514"/>
    <w:rsid w:val="00927316"/>
    <w:rsid w:val="0093133D"/>
    <w:rsid w:val="00931B46"/>
    <w:rsid w:val="0093276D"/>
    <w:rsid w:val="00933D12"/>
    <w:rsid w:val="00936C95"/>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000E"/>
    <w:rsid w:val="00983910"/>
    <w:rsid w:val="009858A3"/>
    <w:rsid w:val="00991859"/>
    <w:rsid w:val="009932AC"/>
    <w:rsid w:val="00994351"/>
    <w:rsid w:val="00996A8F"/>
    <w:rsid w:val="009A03B0"/>
    <w:rsid w:val="009A1DBF"/>
    <w:rsid w:val="009A68E6"/>
    <w:rsid w:val="009A7598"/>
    <w:rsid w:val="009B1DF8"/>
    <w:rsid w:val="009B245F"/>
    <w:rsid w:val="009B3D20"/>
    <w:rsid w:val="009B5418"/>
    <w:rsid w:val="009B6303"/>
    <w:rsid w:val="009C0727"/>
    <w:rsid w:val="009C3C80"/>
    <w:rsid w:val="009C492F"/>
    <w:rsid w:val="009D172C"/>
    <w:rsid w:val="009D2FF2"/>
    <w:rsid w:val="009D3226"/>
    <w:rsid w:val="009D3385"/>
    <w:rsid w:val="009D56FC"/>
    <w:rsid w:val="009D793C"/>
    <w:rsid w:val="009E16A9"/>
    <w:rsid w:val="009E26C5"/>
    <w:rsid w:val="009E375F"/>
    <w:rsid w:val="009E39D4"/>
    <w:rsid w:val="009E433B"/>
    <w:rsid w:val="009E5401"/>
    <w:rsid w:val="009E7206"/>
    <w:rsid w:val="009F6829"/>
    <w:rsid w:val="009F769D"/>
    <w:rsid w:val="00A029B8"/>
    <w:rsid w:val="00A0758F"/>
    <w:rsid w:val="00A1570A"/>
    <w:rsid w:val="00A211B4"/>
    <w:rsid w:val="00A33DDF"/>
    <w:rsid w:val="00A34547"/>
    <w:rsid w:val="00A376B7"/>
    <w:rsid w:val="00A41BF5"/>
    <w:rsid w:val="00A421E0"/>
    <w:rsid w:val="00A4269A"/>
    <w:rsid w:val="00A44778"/>
    <w:rsid w:val="00A45EA3"/>
    <w:rsid w:val="00A46954"/>
    <w:rsid w:val="00A469E7"/>
    <w:rsid w:val="00A5377E"/>
    <w:rsid w:val="00A601E9"/>
    <w:rsid w:val="00A604A4"/>
    <w:rsid w:val="00A61B7D"/>
    <w:rsid w:val="00A643DA"/>
    <w:rsid w:val="00A6605B"/>
    <w:rsid w:val="00A66ADC"/>
    <w:rsid w:val="00A7147D"/>
    <w:rsid w:val="00A81B15"/>
    <w:rsid w:val="00A837FF"/>
    <w:rsid w:val="00A84052"/>
    <w:rsid w:val="00A84DC8"/>
    <w:rsid w:val="00A85DBC"/>
    <w:rsid w:val="00A87FEB"/>
    <w:rsid w:val="00A9048C"/>
    <w:rsid w:val="00A93F9F"/>
    <w:rsid w:val="00A9420E"/>
    <w:rsid w:val="00A97648"/>
    <w:rsid w:val="00AA1CFD"/>
    <w:rsid w:val="00AA2001"/>
    <w:rsid w:val="00AA2239"/>
    <w:rsid w:val="00AA33D2"/>
    <w:rsid w:val="00AA783C"/>
    <w:rsid w:val="00AB0C57"/>
    <w:rsid w:val="00AB1195"/>
    <w:rsid w:val="00AB4182"/>
    <w:rsid w:val="00AC27DB"/>
    <w:rsid w:val="00AC6D6B"/>
    <w:rsid w:val="00AC71E2"/>
    <w:rsid w:val="00AD0CD6"/>
    <w:rsid w:val="00AD7736"/>
    <w:rsid w:val="00AE10CE"/>
    <w:rsid w:val="00AE6C51"/>
    <w:rsid w:val="00AE70D4"/>
    <w:rsid w:val="00AE7868"/>
    <w:rsid w:val="00AE7BAF"/>
    <w:rsid w:val="00AE7D48"/>
    <w:rsid w:val="00AF0407"/>
    <w:rsid w:val="00AF049B"/>
    <w:rsid w:val="00AF4D8B"/>
    <w:rsid w:val="00B01498"/>
    <w:rsid w:val="00B067CA"/>
    <w:rsid w:val="00B12B26"/>
    <w:rsid w:val="00B12D2D"/>
    <w:rsid w:val="00B163F8"/>
    <w:rsid w:val="00B2472D"/>
    <w:rsid w:val="00B24CA0"/>
    <w:rsid w:val="00B2549F"/>
    <w:rsid w:val="00B269F3"/>
    <w:rsid w:val="00B37823"/>
    <w:rsid w:val="00B40885"/>
    <w:rsid w:val="00B4108D"/>
    <w:rsid w:val="00B473D9"/>
    <w:rsid w:val="00B57265"/>
    <w:rsid w:val="00B633AE"/>
    <w:rsid w:val="00B665D2"/>
    <w:rsid w:val="00B6737C"/>
    <w:rsid w:val="00B7214D"/>
    <w:rsid w:val="00B74372"/>
    <w:rsid w:val="00B75525"/>
    <w:rsid w:val="00B75777"/>
    <w:rsid w:val="00B80283"/>
    <w:rsid w:val="00B8095F"/>
    <w:rsid w:val="00B80B0C"/>
    <w:rsid w:val="00B80B11"/>
    <w:rsid w:val="00B831AE"/>
    <w:rsid w:val="00B8446C"/>
    <w:rsid w:val="00B876E3"/>
    <w:rsid w:val="00B87725"/>
    <w:rsid w:val="00BA259A"/>
    <w:rsid w:val="00BA259C"/>
    <w:rsid w:val="00BA29D3"/>
    <w:rsid w:val="00BA307F"/>
    <w:rsid w:val="00BA5280"/>
    <w:rsid w:val="00BB14F1"/>
    <w:rsid w:val="00BB342F"/>
    <w:rsid w:val="00BB4E9B"/>
    <w:rsid w:val="00BB572E"/>
    <w:rsid w:val="00BB74FD"/>
    <w:rsid w:val="00BC0396"/>
    <w:rsid w:val="00BC4D1E"/>
    <w:rsid w:val="00BC5982"/>
    <w:rsid w:val="00BC60BF"/>
    <w:rsid w:val="00BD28BF"/>
    <w:rsid w:val="00BD2D12"/>
    <w:rsid w:val="00BD574F"/>
    <w:rsid w:val="00BD6404"/>
    <w:rsid w:val="00BE33AE"/>
    <w:rsid w:val="00BF046F"/>
    <w:rsid w:val="00BF496B"/>
    <w:rsid w:val="00C01810"/>
    <w:rsid w:val="00C01D50"/>
    <w:rsid w:val="00C03DC6"/>
    <w:rsid w:val="00C056DC"/>
    <w:rsid w:val="00C1329B"/>
    <w:rsid w:val="00C1572F"/>
    <w:rsid w:val="00C20679"/>
    <w:rsid w:val="00C249F9"/>
    <w:rsid w:val="00C24C05"/>
    <w:rsid w:val="00C24D2F"/>
    <w:rsid w:val="00C26222"/>
    <w:rsid w:val="00C3057C"/>
    <w:rsid w:val="00C30613"/>
    <w:rsid w:val="00C31283"/>
    <w:rsid w:val="00C33C48"/>
    <w:rsid w:val="00C340E5"/>
    <w:rsid w:val="00C35AA7"/>
    <w:rsid w:val="00C43BA1"/>
    <w:rsid w:val="00C43DAB"/>
    <w:rsid w:val="00C47F08"/>
    <w:rsid w:val="00C514A6"/>
    <w:rsid w:val="00C53B74"/>
    <w:rsid w:val="00C5739F"/>
    <w:rsid w:val="00C57CF0"/>
    <w:rsid w:val="00C63557"/>
    <w:rsid w:val="00C6393E"/>
    <w:rsid w:val="00C649BD"/>
    <w:rsid w:val="00C6505E"/>
    <w:rsid w:val="00C65891"/>
    <w:rsid w:val="00C66AC9"/>
    <w:rsid w:val="00C724D3"/>
    <w:rsid w:val="00C77DD9"/>
    <w:rsid w:val="00C83BE6"/>
    <w:rsid w:val="00C85354"/>
    <w:rsid w:val="00C86ABA"/>
    <w:rsid w:val="00C943F3"/>
    <w:rsid w:val="00C96CC3"/>
    <w:rsid w:val="00CA08C6"/>
    <w:rsid w:val="00CA0A77"/>
    <w:rsid w:val="00CA2729"/>
    <w:rsid w:val="00CA3057"/>
    <w:rsid w:val="00CA3290"/>
    <w:rsid w:val="00CA45F8"/>
    <w:rsid w:val="00CB0305"/>
    <w:rsid w:val="00CB33C7"/>
    <w:rsid w:val="00CB6DA7"/>
    <w:rsid w:val="00CB7E4C"/>
    <w:rsid w:val="00CC25B4"/>
    <w:rsid w:val="00CC5F88"/>
    <w:rsid w:val="00CC69C8"/>
    <w:rsid w:val="00CC77A2"/>
    <w:rsid w:val="00CC7A31"/>
    <w:rsid w:val="00CD307E"/>
    <w:rsid w:val="00CD629F"/>
    <w:rsid w:val="00CD6A1B"/>
    <w:rsid w:val="00CE0A7F"/>
    <w:rsid w:val="00CE1718"/>
    <w:rsid w:val="00CF4156"/>
    <w:rsid w:val="00D0036C"/>
    <w:rsid w:val="00D025E1"/>
    <w:rsid w:val="00D03D00"/>
    <w:rsid w:val="00D05C30"/>
    <w:rsid w:val="00D10052"/>
    <w:rsid w:val="00D11359"/>
    <w:rsid w:val="00D11AC2"/>
    <w:rsid w:val="00D26C05"/>
    <w:rsid w:val="00D27676"/>
    <w:rsid w:val="00D3188C"/>
    <w:rsid w:val="00D35297"/>
    <w:rsid w:val="00D35F9B"/>
    <w:rsid w:val="00D36B69"/>
    <w:rsid w:val="00D408DD"/>
    <w:rsid w:val="00D45D72"/>
    <w:rsid w:val="00D503DE"/>
    <w:rsid w:val="00D520E4"/>
    <w:rsid w:val="00D53A38"/>
    <w:rsid w:val="00D54C8A"/>
    <w:rsid w:val="00D55AB3"/>
    <w:rsid w:val="00D575DD"/>
    <w:rsid w:val="00D57DFA"/>
    <w:rsid w:val="00D67FCF"/>
    <w:rsid w:val="00D709CE"/>
    <w:rsid w:val="00D71F73"/>
    <w:rsid w:val="00D71F9E"/>
    <w:rsid w:val="00D72765"/>
    <w:rsid w:val="00D80786"/>
    <w:rsid w:val="00D81CAB"/>
    <w:rsid w:val="00D8576F"/>
    <w:rsid w:val="00D8677F"/>
    <w:rsid w:val="00D97F0C"/>
    <w:rsid w:val="00DA3A86"/>
    <w:rsid w:val="00DB5032"/>
    <w:rsid w:val="00DB5A22"/>
    <w:rsid w:val="00DC2500"/>
    <w:rsid w:val="00DC4F72"/>
    <w:rsid w:val="00DC77DC"/>
    <w:rsid w:val="00DC79A6"/>
    <w:rsid w:val="00DD0453"/>
    <w:rsid w:val="00DD0C2C"/>
    <w:rsid w:val="00DD19DE"/>
    <w:rsid w:val="00DD28BC"/>
    <w:rsid w:val="00DE2922"/>
    <w:rsid w:val="00DE31F0"/>
    <w:rsid w:val="00DE3D1C"/>
    <w:rsid w:val="00DF2D3C"/>
    <w:rsid w:val="00E0227D"/>
    <w:rsid w:val="00E04B84"/>
    <w:rsid w:val="00E06466"/>
    <w:rsid w:val="00E06835"/>
    <w:rsid w:val="00E06FDA"/>
    <w:rsid w:val="00E07A4B"/>
    <w:rsid w:val="00E12E33"/>
    <w:rsid w:val="00E160A5"/>
    <w:rsid w:val="00E1713D"/>
    <w:rsid w:val="00E20A43"/>
    <w:rsid w:val="00E23898"/>
    <w:rsid w:val="00E259B4"/>
    <w:rsid w:val="00E319F1"/>
    <w:rsid w:val="00E33CD2"/>
    <w:rsid w:val="00E40E90"/>
    <w:rsid w:val="00E45C7E"/>
    <w:rsid w:val="00E5315E"/>
    <w:rsid w:val="00E531EB"/>
    <w:rsid w:val="00E54874"/>
    <w:rsid w:val="00E54B6F"/>
    <w:rsid w:val="00E55ACA"/>
    <w:rsid w:val="00E57B74"/>
    <w:rsid w:val="00E65BC6"/>
    <w:rsid w:val="00E661FF"/>
    <w:rsid w:val="00E703AA"/>
    <w:rsid w:val="00E726EB"/>
    <w:rsid w:val="00E72CF1"/>
    <w:rsid w:val="00E73987"/>
    <w:rsid w:val="00E80153"/>
    <w:rsid w:val="00E80B52"/>
    <w:rsid w:val="00E824C3"/>
    <w:rsid w:val="00E840B3"/>
    <w:rsid w:val="00E84D10"/>
    <w:rsid w:val="00E8629F"/>
    <w:rsid w:val="00E87878"/>
    <w:rsid w:val="00E90D51"/>
    <w:rsid w:val="00E91008"/>
    <w:rsid w:val="00E9374E"/>
    <w:rsid w:val="00E94F54"/>
    <w:rsid w:val="00E97AD5"/>
    <w:rsid w:val="00EA1111"/>
    <w:rsid w:val="00EA3B4F"/>
    <w:rsid w:val="00EA3C24"/>
    <w:rsid w:val="00EA73DF"/>
    <w:rsid w:val="00EB61AE"/>
    <w:rsid w:val="00EC322D"/>
    <w:rsid w:val="00EC617D"/>
    <w:rsid w:val="00EC64F3"/>
    <w:rsid w:val="00ED383A"/>
    <w:rsid w:val="00ED4A66"/>
    <w:rsid w:val="00ED4F5C"/>
    <w:rsid w:val="00EE1080"/>
    <w:rsid w:val="00EF1EC5"/>
    <w:rsid w:val="00EF2725"/>
    <w:rsid w:val="00EF4C88"/>
    <w:rsid w:val="00EF55EB"/>
    <w:rsid w:val="00F00DCC"/>
    <w:rsid w:val="00F0156F"/>
    <w:rsid w:val="00F05AC8"/>
    <w:rsid w:val="00F07167"/>
    <w:rsid w:val="00F072D8"/>
    <w:rsid w:val="00F07AB0"/>
    <w:rsid w:val="00F07CE0"/>
    <w:rsid w:val="00F115F5"/>
    <w:rsid w:val="00F13D05"/>
    <w:rsid w:val="00F1679D"/>
    <w:rsid w:val="00F1682C"/>
    <w:rsid w:val="00F173DF"/>
    <w:rsid w:val="00F20B91"/>
    <w:rsid w:val="00F21139"/>
    <w:rsid w:val="00F24B8B"/>
    <w:rsid w:val="00F30D2E"/>
    <w:rsid w:val="00F33125"/>
    <w:rsid w:val="00F33FF0"/>
    <w:rsid w:val="00F35516"/>
    <w:rsid w:val="00F35790"/>
    <w:rsid w:val="00F36665"/>
    <w:rsid w:val="00F4136D"/>
    <w:rsid w:val="00F4212E"/>
    <w:rsid w:val="00F4290D"/>
    <w:rsid w:val="00F42C20"/>
    <w:rsid w:val="00F43E34"/>
    <w:rsid w:val="00F471E4"/>
    <w:rsid w:val="00F519D5"/>
    <w:rsid w:val="00F53053"/>
    <w:rsid w:val="00F53FE2"/>
    <w:rsid w:val="00F575FF"/>
    <w:rsid w:val="00F618EF"/>
    <w:rsid w:val="00F65582"/>
    <w:rsid w:val="00F66E75"/>
    <w:rsid w:val="00F77EB0"/>
    <w:rsid w:val="00F87CDD"/>
    <w:rsid w:val="00F933F0"/>
    <w:rsid w:val="00F937A3"/>
    <w:rsid w:val="00F94715"/>
    <w:rsid w:val="00F96A3D"/>
    <w:rsid w:val="00FA4718"/>
    <w:rsid w:val="00FA5138"/>
    <w:rsid w:val="00FA5848"/>
    <w:rsid w:val="00FA6899"/>
    <w:rsid w:val="00FA7F3D"/>
    <w:rsid w:val="00FB38D8"/>
    <w:rsid w:val="00FC051F"/>
    <w:rsid w:val="00FC06FF"/>
    <w:rsid w:val="00FC45F4"/>
    <w:rsid w:val="00FC69B4"/>
    <w:rsid w:val="00FD0694"/>
    <w:rsid w:val="00FD25BE"/>
    <w:rsid w:val="00FD2E70"/>
    <w:rsid w:val="00FD7AA7"/>
    <w:rsid w:val="00FE19FE"/>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635192"/>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2A2968"/>
    <w:pPr>
      <w:numPr>
        <w:ilvl w:val="1"/>
      </w:numPr>
      <w:pBdr>
        <w:top w:val="none" w:sz="0" w:space="0" w:color="auto"/>
      </w:pBdr>
      <w:spacing w:before="180"/>
      <w:ind w:left="432"/>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353D4"/>
    <w:pPr>
      <w:numPr>
        <w:ilvl w:val="2"/>
      </w:numPr>
      <w:spacing w:before="120"/>
      <w:ind w:left="504"/>
      <w:outlineLvl w:val="2"/>
    </w:pPr>
  </w:style>
  <w:style w:type="paragraph" w:styleId="Heading4">
    <w:name w:val="heading 4"/>
    <w:basedOn w:val="Heading3"/>
    <w:next w:val="Normal"/>
    <w:link w:val="Heading4Char"/>
    <w:qFormat/>
    <w:rsid w:val="004715B7"/>
    <w:pPr>
      <w:numPr>
        <w:ilvl w:val="3"/>
      </w:numPr>
      <w:ind w:left="648"/>
      <w:outlineLvl w:val="3"/>
    </w:p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rsid w:val="00635192"/>
    <w:pPr>
      <w:numPr>
        <w:ilvl w:val="0"/>
      </w:numPr>
      <w:ind w:left="1985" w:hanging="1985"/>
      <w:outlineLvl w:val="5"/>
    </w:pPr>
  </w:style>
  <w:style w:type="paragraph" w:styleId="Heading7">
    <w:name w:val="heading 7"/>
    <w:basedOn w:val="H6"/>
    <w:next w:val="Normal"/>
    <w:link w:val="Heading7Char"/>
    <w:qFormat/>
    <w:rsid w:val="00635192"/>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Normal"/>
    <w:link w:val="FooterChar"/>
    <w:rsid w:val="009002C7"/>
    <w:pPr>
      <w:widowControl w:val="0"/>
      <w:spacing w:after="0"/>
      <w:jc w:val="center"/>
    </w:pPr>
    <w:rPr>
      <w:rFonts w:ascii="Arial" w:hAnsi="Arial"/>
      <w:b/>
      <w:i/>
      <w:noProof/>
      <w:sz w:val="18"/>
      <w:lang w:eastAsia="sv-SE"/>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8"/>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2A2968"/>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0353D4"/>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Normal"/>
    <w:link w:val="Char0"/>
    <w:rsid w:val="009002C7"/>
    <w:pPr>
      <w:widowControl w:val="0"/>
      <w:overflowPunct w:val="0"/>
      <w:autoSpaceDE w:val="0"/>
      <w:autoSpaceDN w:val="0"/>
      <w:adjustRightInd w:val="0"/>
      <w:spacing w:after="0"/>
      <w:textAlignment w:val="baseline"/>
    </w:pPr>
    <w:rPr>
      <w:rFonts w:ascii="Arial" w:eastAsia="Arial" w:hAnsi="Arial"/>
      <w:b/>
      <w:bCs/>
      <w:noProof/>
      <w:sz w:val="22"/>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4715B7"/>
    <w:rPr>
      <w:rFonts w:ascii="Arial" w:hAnsi="Arial"/>
      <w:sz w:val="28"/>
      <w:szCs w:val="18"/>
      <w:lang w:eastAsia="zh-CN"/>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numbering" w:customStyle="1" w:styleId="CurrentList1">
    <w:name w:val="Current List1"/>
    <w:uiPriority w:val="99"/>
    <w:rsid w:val="00635192"/>
    <w:pPr>
      <w:numPr>
        <w:numId w:val="24"/>
      </w:numPr>
    </w:pPr>
  </w:style>
  <w:style w:type="paragraph" w:customStyle="1" w:styleId="RAN4proposal">
    <w:name w:val="RAN4 proposal"/>
    <w:basedOn w:val="Caption"/>
    <w:next w:val="Normal"/>
    <w:qFormat/>
    <w:rsid w:val="00A643DA"/>
    <w:pPr>
      <w:numPr>
        <w:numId w:val="28"/>
      </w:numPr>
      <w:spacing w:before="0" w:after="200" w:line="259" w:lineRule="auto"/>
    </w:pPr>
    <w:rPr>
      <w:rFonts w:eastAsiaTheme="minorHAnsi" w:cstheme="minorBidi"/>
      <w:iCs/>
      <w:sz w:val="22"/>
      <w:szCs w:val="18"/>
      <w:lang w:val="en-US"/>
    </w:rPr>
  </w:style>
  <w:style w:type="paragraph" w:customStyle="1" w:styleId="Observation">
    <w:name w:val="Observation"/>
    <w:basedOn w:val="RAN4proposal"/>
    <w:autoRedefine/>
    <w:uiPriority w:val="99"/>
    <w:qFormat/>
    <w:rsid w:val="00A643DA"/>
    <w:pPr>
      <w:numPr>
        <w:numId w:val="29"/>
      </w:numPr>
      <w:tabs>
        <w:tab w:val="left" w:pos="1701"/>
      </w:tabs>
      <w:spacing w:after="120"/>
      <w:ind w:left="0" w:firstLine="0"/>
      <w:jc w:val="both"/>
    </w:pPr>
    <w:rPr>
      <w:bCs/>
      <w:szCs w:val="22"/>
      <w:lang w:val="de-DE" w:eastAsia="ja-JP"/>
    </w:rPr>
  </w:style>
  <w:style w:type="paragraph" w:styleId="Header">
    <w:name w:val="header"/>
    <w:basedOn w:val="Normal"/>
    <w:link w:val="HeaderChar"/>
    <w:unhideWhenUsed/>
    <w:rsid w:val="007B6852"/>
    <w:pPr>
      <w:tabs>
        <w:tab w:val="center" w:pos="4513"/>
        <w:tab w:val="right" w:pos="9026"/>
      </w:tabs>
      <w:spacing w:after="0"/>
    </w:pPr>
  </w:style>
  <w:style w:type="character" w:customStyle="1" w:styleId="HeaderChar">
    <w:name w:val="Header Char"/>
    <w:basedOn w:val="DefaultParagraphFont"/>
    <w:link w:val="Header"/>
    <w:rsid w:val="007B6852"/>
    <w:rPr>
      <w:lang w:val="en-GB" w:eastAsia="en-US"/>
    </w:rPr>
  </w:style>
  <w:style w:type="paragraph" w:customStyle="1" w:styleId="IvDInstructiontext">
    <w:name w:val="IvD Instructiontext"/>
    <w:basedOn w:val="BodyText"/>
    <w:link w:val="IvDInstructiontextChar"/>
    <w:uiPriority w:val="99"/>
    <w:qFormat/>
    <w:rsid w:val="00D2767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D27676"/>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D2767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D2767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4137DA-8A6C-4DF9-ACE4-37E65D22F2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C64F08-BBA4-4BC1-BAC2-136D3535BD4D}">
  <ds:schemaRefs>
    <ds:schemaRef ds:uri="http://schemas.openxmlformats.org/officeDocument/2006/bibliography"/>
  </ds:schemaRefs>
</ds:datastoreItem>
</file>

<file path=customXml/itemProps3.xml><?xml version="1.0" encoding="utf-8"?>
<ds:datastoreItem xmlns:ds="http://schemas.openxmlformats.org/officeDocument/2006/customXml" ds:itemID="{B75B8239-29E8-4948-AD3D-650CFD0E1A7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7A4C07B5-3634-4B94-88D8-2A78FD61AF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312</TotalTime>
  <Pages>5</Pages>
  <Words>1660</Words>
  <Characters>9219</Characters>
  <Application>Microsoft Office Word</Application>
  <DocSecurity>0</DocSecurity>
  <Lines>76</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10858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Deep [E///]</cp:lastModifiedBy>
  <cp:revision>203</cp:revision>
  <cp:lastPrinted>2019-04-25T01:09:00Z</cp:lastPrinted>
  <dcterms:created xsi:type="dcterms:W3CDTF">2022-01-17T09:33:00Z</dcterms:created>
  <dcterms:modified xsi:type="dcterms:W3CDTF">2022-04-25T19:30:00Z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0x010100F3E9551B3FDDA24EBF0A209BAAD637CA</vt:lpwstr>
  </property>
</Properties>
</file>